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96BE6A" w14:textId="14560FB0" w:rsidR="00C27822" w:rsidRDefault="00C27822" w:rsidP="00C27822">
      <w:pPr>
        <w:spacing w:line="240" w:lineRule="auto"/>
        <w:jc w:val="center"/>
        <w:rPr>
          <w:rFonts w:ascii="Century Schoolbook" w:hAnsi="Century Schoolbook" w:cs="Times New Roman (Corps CS)"/>
          <w:b/>
          <w:bCs/>
          <w:smallCaps/>
        </w:rPr>
      </w:pPr>
      <w:r>
        <w:rPr>
          <w:rFonts w:ascii="Century Schoolbook" w:hAnsi="Century Schoolbook" w:cs="Times New Roman (Corps CS)"/>
          <w:b/>
          <w:bCs/>
          <w:smallCaps/>
        </w:rPr>
        <w:t>Christophe Grellard</w:t>
      </w:r>
    </w:p>
    <w:p w14:paraId="6A57B641" w14:textId="32EBA7F2" w:rsidR="00C27822" w:rsidRDefault="00C27822" w:rsidP="00C27822">
      <w:pPr>
        <w:spacing w:line="240" w:lineRule="auto"/>
        <w:jc w:val="center"/>
        <w:rPr>
          <w:rFonts w:ascii="Century Schoolbook" w:hAnsi="Century Schoolbook" w:cs="Times New Roman (Corps CS)"/>
          <w:b/>
          <w:bCs/>
          <w:smallCaps/>
        </w:rPr>
      </w:pPr>
      <w:r w:rsidRPr="00087CD5">
        <w:rPr>
          <w:rFonts w:ascii="Century Schoolbook" w:hAnsi="Century Schoolbook" w:cs="Times New Roman (Corps CS)"/>
          <w:b/>
          <w:bCs/>
          <w:smallCaps/>
        </w:rPr>
        <w:t>Publications</w:t>
      </w:r>
    </w:p>
    <w:p w14:paraId="36789480" w14:textId="77777777" w:rsidR="00C27822" w:rsidRPr="00087CD5" w:rsidRDefault="00C27822" w:rsidP="00C27822">
      <w:pPr>
        <w:spacing w:line="240" w:lineRule="auto"/>
        <w:jc w:val="center"/>
        <w:rPr>
          <w:rFonts w:ascii="Century Schoolbook" w:hAnsi="Century Schoolbook" w:cs="Times New Roman (Corps CS)"/>
          <w:b/>
          <w:bCs/>
          <w:smallCaps/>
        </w:rPr>
      </w:pPr>
    </w:p>
    <w:p w14:paraId="41F7C064" w14:textId="77777777" w:rsidR="00C27822" w:rsidRPr="00087CD5" w:rsidRDefault="00C27822" w:rsidP="00C27822">
      <w:pPr>
        <w:spacing w:line="240" w:lineRule="auto"/>
        <w:rPr>
          <w:rFonts w:ascii="Century Schoolbook" w:hAnsi="Century Schoolbook"/>
          <w:b/>
          <w:bCs/>
          <w:i/>
          <w:szCs w:val="22"/>
        </w:rPr>
      </w:pPr>
      <w:r w:rsidRPr="00087CD5">
        <w:rPr>
          <w:rFonts w:ascii="Century Schoolbook" w:hAnsi="Century Schoolbook"/>
          <w:b/>
          <w:bCs/>
          <w:i/>
          <w:szCs w:val="22"/>
        </w:rPr>
        <w:t>Traductions</w:t>
      </w:r>
    </w:p>
    <w:p w14:paraId="589CA1EE" w14:textId="77777777" w:rsidR="00C27822" w:rsidRPr="00087CD5" w:rsidRDefault="00C27822" w:rsidP="00C27822">
      <w:pPr>
        <w:pStyle w:val="Paragraphedeliste"/>
        <w:numPr>
          <w:ilvl w:val="0"/>
          <w:numId w:val="1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 xml:space="preserve">Guillaume d’Ockham, </w:t>
      </w:r>
      <w:r w:rsidRPr="00087CD5">
        <w:rPr>
          <w:rFonts w:ascii="Century Schoolbook" w:hAnsi="Century Schoolbook"/>
          <w:i/>
          <w:szCs w:val="22"/>
        </w:rPr>
        <w:t>Somme de logique</w:t>
      </w:r>
      <w:r w:rsidRPr="00087CD5">
        <w:rPr>
          <w:rFonts w:ascii="Century Schoolbook" w:hAnsi="Century Schoolbook"/>
          <w:szCs w:val="22"/>
        </w:rPr>
        <w:t>, 3</w:t>
      </w:r>
      <w:r w:rsidRPr="00087CD5">
        <w:rPr>
          <w:rFonts w:ascii="Century Schoolbook" w:hAnsi="Century Schoolbook"/>
          <w:szCs w:val="22"/>
          <w:vertAlign w:val="superscript"/>
        </w:rPr>
        <w:t>e</w:t>
      </w:r>
      <w:r w:rsidRPr="00087CD5">
        <w:rPr>
          <w:rFonts w:ascii="Century Schoolbook" w:hAnsi="Century Schoolbook"/>
          <w:szCs w:val="22"/>
        </w:rPr>
        <w:t xml:space="preserve"> partie (3-4), TER, Mauvezin, 2008, introduction de J. Biard, traduction et notes de J. Biard, C. Grellard et K.S. </w:t>
      </w:r>
      <w:proofErr w:type="spellStart"/>
      <w:r w:rsidRPr="00087CD5">
        <w:rPr>
          <w:rFonts w:ascii="Century Schoolbook" w:hAnsi="Century Schoolbook"/>
          <w:szCs w:val="22"/>
        </w:rPr>
        <w:t>Ong</w:t>
      </w:r>
      <w:proofErr w:type="spellEnd"/>
      <w:r w:rsidRPr="00087CD5">
        <w:rPr>
          <w:rFonts w:ascii="Century Schoolbook" w:hAnsi="Century Schoolbook"/>
          <w:szCs w:val="22"/>
        </w:rPr>
        <w:t>-van-Cung</w:t>
      </w:r>
    </w:p>
    <w:p w14:paraId="0BFD0CFE" w14:textId="77777777" w:rsidR="00C27822" w:rsidRPr="00087CD5" w:rsidRDefault="00C27822" w:rsidP="00C27822">
      <w:pPr>
        <w:pStyle w:val="Paragraphedeliste"/>
        <w:numPr>
          <w:ilvl w:val="0"/>
          <w:numId w:val="1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 xml:space="preserve">Guillaume d’Ockham, </w:t>
      </w:r>
      <w:r w:rsidRPr="00087CD5">
        <w:rPr>
          <w:rFonts w:ascii="Century Schoolbook" w:hAnsi="Century Schoolbook"/>
          <w:i/>
          <w:szCs w:val="22"/>
        </w:rPr>
        <w:t>Somme de logique</w:t>
      </w:r>
      <w:r w:rsidRPr="00087CD5">
        <w:rPr>
          <w:rFonts w:ascii="Century Schoolbook" w:hAnsi="Century Schoolbook"/>
          <w:szCs w:val="22"/>
        </w:rPr>
        <w:t>, 3</w:t>
      </w:r>
      <w:r w:rsidRPr="00087CD5">
        <w:rPr>
          <w:rFonts w:ascii="Century Schoolbook" w:hAnsi="Century Schoolbook"/>
          <w:szCs w:val="22"/>
          <w:vertAlign w:val="superscript"/>
        </w:rPr>
        <w:t>e</w:t>
      </w:r>
      <w:r w:rsidRPr="00087CD5">
        <w:rPr>
          <w:rFonts w:ascii="Century Schoolbook" w:hAnsi="Century Schoolbook"/>
          <w:szCs w:val="22"/>
        </w:rPr>
        <w:t xml:space="preserve"> partie (1-2), TER, Mauvezin, 2003, introduction de J. Biard, traduction et notes de J. Biard, C. Grellard et K. </w:t>
      </w:r>
      <w:proofErr w:type="spellStart"/>
      <w:r w:rsidRPr="00087CD5">
        <w:rPr>
          <w:rFonts w:ascii="Century Schoolbook" w:hAnsi="Century Schoolbook"/>
          <w:szCs w:val="22"/>
        </w:rPr>
        <w:t>Ong</w:t>
      </w:r>
      <w:proofErr w:type="spellEnd"/>
      <w:r w:rsidRPr="00087CD5">
        <w:rPr>
          <w:rFonts w:ascii="Century Schoolbook" w:hAnsi="Century Schoolbook"/>
          <w:szCs w:val="22"/>
        </w:rPr>
        <w:t xml:space="preserve">-van-Cung. </w:t>
      </w:r>
    </w:p>
    <w:p w14:paraId="05E82479" w14:textId="77777777" w:rsidR="00C27822" w:rsidRPr="00087CD5" w:rsidRDefault="00C27822" w:rsidP="00C27822">
      <w:pPr>
        <w:pStyle w:val="Paragraphedeliste"/>
        <w:numPr>
          <w:ilvl w:val="0"/>
          <w:numId w:val="1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>Nicolas d’</w:t>
      </w:r>
      <w:proofErr w:type="spellStart"/>
      <w:r w:rsidRPr="00087CD5">
        <w:rPr>
          <w:rFonts w:ascii="Century Schoolbook" w:hAnsi="Century Schoolbook"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, </w:t>
      </w:r>
      <w:r w:rsidRPr="00087CD5">
        <w:rPr>
          <w:rFonts w:ascii="Century Schoolbook" w:hAnsi="Century Schoolbook"/>
          <w:i/>
          <w:szCs w:val="22"/>
        </w:rPr>
        <w:t>Correspondance. Articles condamnés</w:t>
      </w:r>
      <w:r w:rsidRPr="00087CD5">
        <w:rPr>
          <w:rFonts w:ascii="Century Schoolbook" w:hAnsi="Century Schoolbook"/>
          <w:szCs w:val="22"/>
        </w:rPr>
        <w:t>, introduction, traduction et notes de C. Grellard, Paris : Vrin, « Sic et Non », 2001</w:t>
      </w:r>
    </w:p>
    <w:p w14:paraId="35CBF246" w14:textId="77777777" w:rsidR="00C27822" w:rsidRPr="00087CD5" w:rsidRDefault="00C27822" w:rsidP="00C27822">
      <w:pPr>
        <w:spacing w:line="240" w:lineRule="auto"/>
        <w:rPr>
          <w:rFonts w:ascii="Century Schoolbook" w:hAnsi="Century Schoolbook"/>
          <w:b/>
          <w:bCs/>
          <w:i/>
          <w:iCs/>
          <w:szCs w:val="22"/>
        </w:rPr>
      </w:pPr>
      <w:r w:rsidRPr="00087CD5">
        <w:rPr>
          <w:rFonts w:ascii="Century Schoolbook" w:hAnsi="Century Schoolbook"/>
          <w:b/>
          <w:bCs/>
          <w:i/>
          <w:iCs/>
          <w:szCs w:val="22"/>
        </w:rPr>
        <w:t>Édition critique</w:t>
      </w:r>
    </w:p>
    <w:p w14:paraId="6C1A49BC" w14:textId="77777777" w:rsidR="00C27822" w:rsidRPr="00087CD5" w:rsidRDefault="00C27822" w:rsidP="00C27822">
      <w:pPr>
        <w:pStyle w:val="Paragraphedeliste"/>
        <w:numPr>
          <w:ilvl w:val="0"/>
          <w:numId w:val="2"/>
        </w:numPr>
        <w:spacing w:line="240" w:lineRule="auto"/>
        <w:rPr>
          <w:rFonts w:ascii="Century Schoolbook" w:eastAsia="Arial Unicode MS" w:hAnsi="Century Schoolbook" w:cs="Times New Roman"/>
          <w:color w:val="000000"/>
          <w:szCs w:val="22"/>
        </w:rPr>
      </w:pPr>
      <w:r w:rsidRPr="00087CD5">
        <w:rPr>
          <w:rStyle w:val="s7"/>
          <w:rFonts w:ascii="Century Schoolbook" w:eastAsia="Arial Unicode MS" w:hAnsi="Century Schoolbook" w:cs="Times New Roman"/>
          <w:color w:val="000000"/>
          <w:szCs w:val="22"/>
        </w:rPr>
        <w:t>(</w:t>
      </w:r>
      <w:proofErr w:type="gramStart"/>
      <w:r w:rsidRPr="00087CD5">
        <w:rPr>
          <w:rStyle w:val="s7"/>
          <w:rFonts w:ascii="Century Schoolbook" w:eastAsia="Arial Unicode MS" w:hAnsi="Century Schoolbook" w:cs="Times New Roman"/>
          <w:color w:val="000000"/>
          <w:szCs w:val="22"/>
        </w:rPr>
        <w:t>avec</w:t>
      </w:r>
      <w:proofErr w:type="gramEnd"/>
      <w:r w:rsidRPr="00087CD5">
        <w:rPr>
          <w:rStyle w:val="s7"/>
          <w:rFonts w:ascii="Century Schoolbook" w:eastAsia="Arial Unicode MS" w:hAnsi="Century Schoolbook" w:cs="Times New Roman"/>
          <w:color w:val="000000"/>
          <w:szCs w:val="22"/>
        </w:rPr>
        <w:t xml:space="preserve"> Joël Biard), « Les</w:t>
      </w:r>
      <w:r w:rsidRPr="00087CD5">
        <w:rPr>
          <w:rStyle w:val="apple-converted-space"/>
          <w:rFonts w:ascii="Century Schoolbook" w:hAnsi="Century Schoolbook" w:cs="Times New Roman"/>
          <w:color w:val="000000"/>
          <w:szCs w:val="22"/>
        </w:rPr>
        <w:t> </w:t>
      </w:r>
      <w:proofErr w:type="spellStart"/>
      <w:r w:rsidRPr="00087CD5">
        <w:rPr>
          <w:rStyle w:val="s10"/>
          <w:rFonts w:ascii="Century Schoolbook" w:hAnsi="Century Schoolbook" w:cs="Times New Roman"/>
          <w:i/>
          <w:iCs/>
          <w:color w:val="000000"/>
          <w:szCs w:val="22"/>
        </w:rPr>
        <w:t>Quaestiones</w:t>
      </w:r>
      <w:proofErr w:type="spellEnd"/>
      <w:r w:rsidRPr="00087CD5">
        <w:rPr>
          <w:rStyle w:val="apple-converted-space"/>
          <w:rFonts w:ascii="Century Schoolbook" w:hAnsi="Century Schoolbook" w:cs="Times New Roman"/>
          <w:i/>
          <w:iCs/>
          <w:color w:val="000000"/>
          <w:szCs w:val="22"/>
        </w:rPr>
        <w:t> </w:t>
      </w:r>
      <w:r w:rsidRPr="00087CD5">
        <w:rPr>
          <w:rStyle w:val="s10"/>
          <w:rFonts w:ascii="Century Schoolbook" w:hAnsi="Century Schoolbook" w:cs="Times New Roman"/>
          <w:i/>
          <w:iCs/>
          <w:color w:val="000000"/>
          <w:szCs w:val="22"/>
        </w:rPr>
        <w:t>circa</w:t>
      </w:r>
      <w:r w:rsidRPr="00087CD5">
        <w:rPr>
          <w:rStyle w:val="apple-converted-space"/>
          <w:rFonts w:ascii="Century Schoolbook" w:hAnsi="Century Schoolbook" w:cs="Times New Roman"/>
          <w:i/>
          <w:iCs/>
          <w:color w:val="000000"/>
          <w:szCs w:val="22"/>
        </w:rPr>
        <w:t> </w:t>
      </w:r>
      <w:proofErr w:type="spellStart"/>
      <w:r w:rsidRPr="00087CD5">
        <w:rPr>
          <w:rStyle w:val="s10"/>
          <w:rFonts w:ascii="Century Schoolbook" w:hAnsi="Century Schoolbook" w:cs="Times New Roman"/>
          <w:i/>
          <w:iCs/>
          <w:color w:val="000000"/>
          <w:szCs w:val="22"/>
        </w:rPr>
        <w:t>librum</w:t>
      </w:r>
      <w:proofErr w:type="spellEnd"/>
      <w:r w:rsidRPr="00087CD5">
        <w:rPr>
          <w:rStyle w:val="apple-converted-space"/>
          <w:rFonts w:ascii="Century Schoolbook" w:hAnsi="Century Schoolbook" w:cs="Times New Roman"/>
          <w:i/>
          <w:iCs/>
          <w:color w:val="000000"/>
          <w:szCs w:val="22"/>
        </w:rPr>
        <w:t> </w:t>
      </w:r>
      <w:r w:rsidRPr="00087CD5">
        <w:rPr>
          <w:rStyle w:val="s10"/>
          <w:rFonts w:ascii="Century Schoolbook" w:hAnsi="Century Schoolbook" w:cs="Times New Roman"/>
          <w:i/>
          <w:iCs/>
          <w:color w:val="000000"/>
          <w:szCs w:val="22"/>
        </w:rPr>
        <w:t>de</w:t>
      </w:r>
      <w:r w:rsidRPr="00087CD5">
        <w:rPr>
          <w:rStyle w:val="apple-converted-space"/>
          <w:rFonts w:ascii="Century Schoolbook" w:hAnsi="Century Schoolbook" w:cs="Times New Roman"/>
          <w:i/>
          <w:iCs/>
          <w:color w:val="000000"/>
          <w:szCs w:val="22"/>
        </w:rPr>
        <w:t> </w:t>
      </w:r>
      <w:proofErr w:type="spellStart"/>
      <w:r w:rsidRPr="00087CD5">
        <w:rPr>
          <w:rStyle w:val="s10"/>
          <w:rFonts w:ascii="Century Schoolbook" w:hAnsi="Century Schoolbook" w:cs="Times New Roman"/>
          <w:i/>
          <w:iCs/>
          <w:color w:val="000000"/>
          <w:szCs w:val="22"/>
        </w:rPr>
        <w:t>Physionomia</w:t>
      </w:r>
      <w:proofErr w:type="spellEnd"/>
      <w:r w:rsidRPr="00087CD5">
        <w:rPr>
          <w:rStyle w:val="apple-converted-space"/>
          <w:rFonts w:ascii="Century Schoolbook" w:hAnsi="Century Schoolbook" w:cs="Times New Roman"/>
          <w:color w:val="000000"/>
          <w:szCs w:val="22"/>
        </w:rPr>
        <w:t> </w:t>
      </w:r>
      <w:r w:rsidRPr="00087CD5">
        <w:rPr>
          <w:rStyle w:val="s7"/>
          <w:rFonts w:ascii="Century Schoolbook" w:eastAsia="Arial Unicode MS" w:hAnsi="Century Schoolbook" w:cs="Times New Roman"/>
          <w:color w:val="000000"/>
          <w:szCs w:val="22"/>
        </w:rPr>
        <w:t xml:space="preserve">de Jean Buridan », </w:t>
      </w:r>
      <w:r w:rsidRPr="00BF4894">
        <w:rPr>
          <w:rStyle w:val="s7"/>
          <w:rFonts w:ascii="Century Schoolbook" w:eastAsia="Arial Unicode MS" w:hAnsi="Century Schoolbook" w:cs="Times New Roman"/>
          <w:i/>
          <w:iCs/>
          <w:color w:val="000000"/>
          <w:szCs w:val="22"/>
        </w:rPr>
        <w:t>Archives d’histoire littéraire et doctrinale du Moyen Âge</w:t>
      </w:r>
      <w:r w:rsidRPr="00087CD5">
        <w:rPr>
          <w:rStyle w:val="s7"/>
          <w:rFonts w:ascii="Century Schoolbook" w:eastAsia="Arial Unicode MS" w:hAnsi="Century Schoolbook" w:cs="Times New Roman"/>
          <w:color w:val="000000"/>
          <w:szCs w:val="22"/>
        </w:rPr>
        <w:t>, 89 (2022), p. 237-442</w:t>
      </w:r>
    </w:p>
    <w:p w14:paraId="478B9720" w14:textId="77777777" w:rsidR="00C27822" w:rsidRPr="00087CD5" w:rsidRDefault="00C27822" w:rsidP="00C27822">
      <w:pPr>
        <w:spacing w:line="240" w:lineRule="auto"/>
        <w:rPr>
          <w:rFonts w:ascii="Century Schoolbook" w:hAnsi="Century Schoolbook"/>
          <w:b/>
          <w:bCs/>
          <w:i/>
          <w:szCs w:val="22"/>
        </w:rPr>
      </w:pPr>
      <w:r w:rsidRPr="00087CD5">
        <w:rPr>
          <w:rFonts w:ascii="Century Schoolbook" w:hAnsi="Century Schoolbook"/>
          <w:b/>
          <w:bCs/>
          <w:i/>
          <w:szCs w:val="22"/>
        </w:rPr>
        <w:t>Livres</w:t>
      </w:r>
    </w:p>
    <w:p w14:paraId="51317AC5" w14:textId="77777777" w:rsidR="00C27822" w:rsidRPr="00087CD5" w:rsidRDefault="00C27822" w:rsidP="00C27822">
      <w:p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="MS Mincho" w:hAnsi="Century Schoolbook"/>
          <w:szCs w:val="22"/>
          <w:u w:val="single"/>
        </w:rPr>
        <w:t>a. Direction d’ouvrages collectifs</w:t>
      </w:r>
    </w:p>
    <w:p w14:paraId="723FB0BA" w14:textId="77777777" w:rsidR="00C27822" w:rsidRPr="00480B43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proofErr w:type="spellStart"/>
      <w:r w:rsidRPr="00480B43">
        <w:rPr>
          <w:rFonts w:ascii="Century Schoolbook" w:hAnsi="Century Schoolbook"/>
          <w:szCs w:val="22"/>
        </w:rPr>
        <w:t>Theologia</w:t>
      </w:r>
      <w:proofErr w:type="spellEnd"/>
      <w:r w:rsidRPr="00480B43">
        <w:rPr>
          <w:rFonts w:ascii="Century Schoolbook" w:hAnsi="Century Schoolbook"/>
          <w:szCs w:val="22"/>
        </w:rPr>
        <w:t xml:space="preserve"> </w:t>
      </w:r>
      <w:proofErr w:type="spellStart"/>
      <w:r w:rsidRPr="00480B43">
        <w:rPr>
          <w:rFonts w:ascii="Century Schoolbook" w:hAnsi="Century Schoolbook"/>
          <w:szCs w:val="22"/>
        </w:rPr>
        <w:t>modernorum</w:t>
      </w:r>
      <w:proofErr w:type="spellEnd"/>
      <w:r w:rsidRPr="00480B43">
        <w:rPr>
          <w:rFonts w:ascii="Century Schoolbook" w:hAnsi="Century Schoolbook"/>
          <w:szCs w:val="22"/>
        </w:rPr>
        <w:t xml:space="preserve">. </w:t>
      </w:r>
      <w:proofErr w:type="spellStart"/>
      <w:r w:rsidRPr="00480B43">
        <w:rPr>
          <w:rFonts w:ascii="Century Schoolbook" w:hAnsi="Century Schoolbook"/>
          <w:i/>
          <w:iCs/>
          <w:szCs w:val="22"/>
        </w:rPr>
        <w:t>Research</w:t>
      </w:r>
      <w:proofErr w:type="spellEnd"/>
      <w:r w:rsidRPr="00480B43">
        <w:rPr>
          <w:rFonts w:ascii="Century Schoolbook" w:hAnsi="Century Schoolbook"/>
          <w:i/>
          <w:iCs/>
          <w:szCs w:val="22"/>
        </w:rPr>
        <w:t xml:space="preserve"> on Robert </w:t>
      </w:r>
      <w:proofErr w:type="spellStart"/>
      <w:r w:rsidRPr="00480B43">
        <w:rPr>
          <w:rFonts w:ascii="Century Schoolbook" w:hAnsi="Century Schoolbook"/>
          <w:i/>
          <w:iCs/>
          <w:szCs w:val="22"/>
        </w:rPr>
        <w:t>Holcot’s</w:t>
      </w:r>
      <w:proofErr w:type="spellEnd"/>
      <w:r w:rsidRPr="00480B43">
        <w:rPr>
          <w:rFonts w:ascii="Century Schoolbook" w:hAnsi="Century Schoolbook"/>
          <w:i/>
          <w:iCs/>
          <w:szCs w:val="22"/>
        </w:rPr>
        <w:t xml:space="preserve"> </w:t>
      </w:r>
      <w:proofErr w:type="spellStart"/>
      <w:r w:rsidRPr="00480B43">
        <w:rPr>
          <w:rFonts w:ascii="Century Schoolbook" w:hAnsi="Century Schoolbook"/>
          <w:i/>
          <w:iCs/>
          <w:szCs w:val="22"/>
        </w:rPr>
        <w:t>Theological</w:t>
      </w:r>
      <w:proofErr w:type="spellEnd"/>
      <w:r w:rsidRPr="00480B43">
        <w:rPr>
          <w:rFonts w:ascii="Century Schoolbook" w:hAnsi="Century Schoolbook"/>
          <w:i/>
          <w:iCs/>
          <w:szCs w:val="22"/>
        </w:rPr>
        <w:t xml:space="preserve"> Questions</w:t>
      </w:r>
      <w:r w:rsidRPr="00480B43">
        <w:rPr>
          <w:rFonts w:ascii="Century Schoolbook" w:hAnsi="Century Schoolbook"/>
          <w:szCs w:val="22"/>
        </w:rPr>
        <w:t>, P. Bermon &amp; C. Grellard (</w:t>
      </w:r>
      <w:proofErr w:type="spellStart"/>
      <w:r w:rsidRPr="00480B43">
        <w:rPr>
          <w:rFonts w:ascii="Century Schoolbook" w:hAnsi="Century Schoolbook"/>
          <w:szCs w:val="22"/>
        </w:rPr>
        <w:t>éds</w:t>
      </w:r>
      <w:proofErr w:type="spellEnd"/>
      <w:r w:rsidRPr="00480B43">
        <w:rPr>
          <w:rFonts w:ascii="Century Schoolbook" w:hAnsi="Century Schoolbook"/>
          <w:szCs w:val="22"/>
        </w:rPr>
        <w:t xml:space="preserve">.), Turnhout, </w:t>
      </w:r>
      <w:proofErr w:type="spellStart"/>
      <w:r w:rsidRPr="00480B43">
        <w:rPr>
          <w:rFonts w:ascii="Century Schoolbook" w:hAnsi="Century Schoolbook"/>
          <w:szCs w:val="22"/>
        </w:rPr>
        <w:t>Brepols</w:t>
      </w:r>
      <w:proofErr w:type="spellEnd"/>
      <w:r w:rsidRPr="00480B43">
        <w:rPr>
          <w:rFonts w:ascii="Century Schoolbook" w:hAnsi="Century Schoolbook"/>
          <w:szCs w:val="22"/>
        </w:rPr>
        <w:t>, 2025</w:t>
      </w:r>
    </w:p>
    <w:p w14:paraId="106BD59F" w14:textId="44A49A92" w:rsidR="00C27822" w:rsidRPr="00480B43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480B43">
        <w:rPr>
          <w:rFonts w:ascii="Century Schoolbook" w:hAnsi="Century Schoolbook"/>
          <w:i/>
          <w:iCs/>
          <w:szCs w:val="22"/>
        </w:rPr>
        <w:t xml:space="preserve">Radical </w:t>
      </w:r>
      <w:proofErr w:type="spellStart"/>
      <w:r w:rsidRPr="00480B43">
        <w:rPr>
          <w:rFonts w:ascii="Century Schoolbook" w:hAnsi="Century Schoolbook"/>
          <w:i/>
          <w:iCs/>
          <w:szCs w:val="22"/>
        </w:rPr>
        <w:t>Thinking</w:t>
      </w:r>
      <w:proofErr w:type="spellEnd"/>
      <w:r w:rsidRPr="00480B43">
        <w:rPr>
          <w:rFonts w:ascii="Century Schoolbook" w:hAnsi="Century Schoolbook"/>
          <w:i/>
          <w:iCs/>
          <w:szCs w:val="22"/>
        </w:rPr>
        <w:t xml:space="preserve"> in the Middle Ages. Acts of the </w:t>
      </w:r>
      <w:proofErr w:type="spellStart"/>
      <w:r w:rsidRPr="00480B43">
        <w:rPr>
          <w:rFonts w:ascii="Century Schoolbook" w:hAnsi="Century Schoolbook"/>
          <w:i/>
          <w:iCs/>
          <w:szCs w:val="22"/>
        </w:rPr>
        <w:t>xv</w:t>
      </w:r>
      <w:r>
        <w:rPr>
          <w:rFonts w:ascii="Century Schoolbook" w:hAnsi="Century Schoolbook"/>
          <w:i/>
          <w:iCs/>
          <w:szCs w:val="22"/>
          <w:vertAlign w:val="superscript"/>
        </w:rPr>
        <w:t>e</w:t>
      </w:r>
      <w:proofErr w:type="spellEnd"/>
      <w:r w:rsidRPr="00480B43">
        <w:rPr>
          <w:rFonts w:ascii="Century Schoolbook" w:hAnsi="Century Schoolbook"/>
          <w:i/>
          <w:iCs/>
          <w:szCs w:val="22"/>
        </w:rPr>
        <w:t xml:space="preserve"> International Congress of the SIEPL, Paris, 22-26 August 2022</w:t>
      </w:r>
      <w:r w:rsidRPr="00480B43">
        <w:rPr>
          <w:rFonts w:ascii="Century Schoolbook" w:hAnsi="Century Schoolbook"/>
          <w:szCs w:val="22"/>
        </w:rPr>
        <w:t>, M. Brinzei, I. Caiazzo, C. Grellard &amp; A. Robert (</w:t>
      </w:r>
      <w:proofErr w:type="spellStart"/>
      <w:r w:rsidRPr="00480B43">
        <w:rPr>
          <w:rFonts w:ascii="Century Schoolbook" w:hAnsi="Century Schoolbook"/>
          <w:szCs w:val="22"/>
        </w:rPr>
        <w:t>éds</w:t>
      </w:r>
      <w:proofErr w:type="spellEnd"/>
      <w:r w:rsidRPr="00480B43">
        <w:rPr>
          <w:rFonts w:ascii="Century Schoolbook" w:hAnsi="Century Schoolbook"/>
          <w:szCs w:val="22"/>
        </w:rPr>
        <w:t xml:space="preserve">.), Turnhout, </w:t>
      </w:r>
      <w:proofErr w:type="spellStart"/>
      <w:r w:rsidRPr="00480B43">
        <w:rPr>
          <w:rFonts w:ascii="Century Schoolbook" w:hAnsi="Century Schoolbook"/>
          <w:szCs w:val="22"/>
        </w:rPr>
        <w:t>Brepols</w:t>
      </w:r>
      <w:proofErr w:type="spellEnd"/>
      <w:r w:rsidRPr="00480B43">
        <w:rPr>
          <w:rFonts w:ascii="Century Schoolbook" w:hAnsi="Century Schoolbook"/>
          <w:szCs w:val="22"/>
        </w:rPr>
        <w:t>, 2025</w:t>
      </w:r>
    </w:p>
    <w:p w14:paraId="13EEE698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Genèses antiques et médiévales de la foi,</w:t>
      </w:r>
      <w:r w:rsidRPr="00087CD5">
        <w:rPr>
          <w:rFonts w:ascii="Century Schoolbook" w:hAnsi="Century Schoolbook"/>
          <w:szCs w:val="22"/>
        </w:rPr>
        <w:t xml:space="preserve"> avec Ph. Hoffmann et L. Lavaud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>.), Institut des Études augustiniennes, Paris, 2020</w:t>
      </w:r>
    </w:p>
    <w:p w14:paraId="4F1100AD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Jean de Salisbury, nouvelles lectures, nouveaux enjeux</w:t>
      </w:r>
      <w:r w:rsidRPr="00087CD5">
        <w:rPr>
          <w:rFonts w:ascii="Century Schoolbook" w:hAnsi="Century Schoolbook"/>
          <w:szCs w:val="22"/>
        </w:rPr>
        <w:t xml:space="preserve">, SISMEL, </w:t>
      </w:r>
      <w:proofErr w:type="spellStart"/>
      <w:r w:rsidRPr="00087CD5">
        <w:rPr>
          <w:rFonts w:ascii="Century Schoolbook" w:hAnsi="Century Schoolbook"/>
          <w:szCs w:val="22"/>
        </w:rPr>
        <w:t>Edizioni</w:t>
      </w:r>
      <w:proofErr w:type="spellEnd"/>
      <w:r w:rsidRPr="00087CD5">
        <w:rPr>
          <w:rFonts w:ascii="Century Schoolbook" w:hAnsi="Century Schoolbook"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szCs w:val="22"/>
        </w:rPr>
        <w:t>del</w:t>
      </w:r>
      <w:proofErr w:type="spellEnd"/>
      <w:r w:rsidRPr="00087CD5">
        <w:rPr>
          <w:rFonts w:ascii="Century Schoolbook" w:hAnsi="Century Schoolbook"/>
          <w:szCs w:val="22"/>
        </w:rPr>
        <w:t xml:space="preserve"> Galluzzo, 2018</w:t>
      </w:r>
    </w:p>
    <w:p w14:paraId="5A53D42C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Miroir de l’amitié. Mélanges offerts à Joël Biard à l’occasion de ses 65 ans</w:t>
      </w:r>
      <w:r w:rsidRPr="00087CD5">
        <w:rPr>
          <w:rFonts w:ascii="Century Schoolbook" w:hAnsi="Century Schoolbook"/>
          <w:szCs w:val="22"/>
        </w:rPr>
        <w:t>, Paris, Vrin, 2017</w:t>
      </w:r>
    </w:p>
    <w:p w14:paraId="5CFF8854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  <w:lang w:val="en-US"/>
        </w:rPr>
      </w:pPr>
      <w:r w:rsidRPr="00087CD5">
        <w:rPr>
          <w:rFonts w:ascii="Century Schoolbook" w:hAnsi="Century Schoolbook"/>
          <w:i/>
          <w:szCs w:val="22"/>
          <w:lang w:val="en-US"/>
        </w:rPr>
        <w:t>A Companion to John of Salisbury</w:t>
      </w:r>
      <w:r w:rsidRPr="00087CD5">
        <w:rPr>
          <w:rFonts w:ascii="Century Schoolbook" w:hAnsi="Century Schoolbook"/>
          <w:szCs w:val="22"/>
          <w:lang w:val="en-US"/>
        </w:rPr>
        <w:t>, ed. by C. Grellard and F. Lachaud, Brill, Leiden-Boston, 2014</w:t>
      </w:r>
    </w:p>
    <w:p w14:paraId="521DF161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 xml:space="preserve">Nicole Oresme Philosophe. Philosophie de la nature et philosophie de la connaissance à Paris au </w:t>
      </w:r>
      <w:proofErr w:type="spellStart"/>
      <w:r w:rsidRPr="00087CD5">
        <w:rPr>
          <w:rFonts w:ascii="Century Schoolbook" w:hAnsi="Century Schoolbook"/>
          <w:i/>
          <w:smallCaps/>
          <w:szCs w:val="22"/>
        </w:rPr>
        <w:t>xiv</w:t>
      </w:r>
      <w:r w:rsidRPr="00087CD5">
        <w:rPr>
          <w:rFonts w:ascii="Century Schoolbook" w:hAnsi="Century Schoolbook"/>
          <w:i/>
          <w:szCs w:val="22"/>
          <w:vertAlign w:val="superscript"/>
        </w:rPr>
        <w:t>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siècle</w:t>
      </w:r>
      <w:r w:rsidRPr="00087CD5">
        <w:rPr>
          <w:rFonts w:ascii="Century Schoolbook" w:hAnsi="Century Schoolbook"/>
          <w:szCs w:val="22"/>
        </w:rPr>
        <w:t xml:space="preserve">, J. </w:t>
      </w:r>
      <w:proofErr w:type="spellStart"/>
      <w:r w:rsidRPr="00087CD5">
        <w:rPr>
          <w:rFonts w:ascii="Century Schoolbook" w:hAnsi="Century Schoolbook"/>
          <w:szCs w:val="22"/>
        </w:rPr>
        <w:t>Celeyrette</w:t>
      </w:r>
      <w:proofErr w:type="spellEnd"/>
      <w:r w:rsidRPr="00087CD5">
        <w:rPr>
          <w:rFonts w:ascii="Century Schoolbook" w:hAnsi="Century Schoolbook"/>
          <w:szCs w:val="22"/>
        </w:rPr>
        <w:t xml:space="preserve"> et C. Grellard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proofErr w:type="spellStart"/>
      <w:r w:rsidRPr="00087CD5">
        <w:rPr>
          <w:rFonts w:ascii="Century Schoolbook" w:hAnsi="Century Schoolbook"/>
          <w:szCs w:val="22"/>
        </w:rPr>
        <w:t>Brepols</w:t>
      </w:r>
      <w:proofErr w:type="spellEnd"/>
      <w:r w:rsidRPr="00087CD5">
        <w:rPr>
          <w:rFonts w:ascii="Century Schoolbook" w:hAnsi="Century Schoolbook"/>
          <w:szCs w:val="22"/>
        </w:rPr>
        <w:t>, Turnhout, 2014</w:t>
      </w:r>
    </w:p>
    <w:p w14:paraId="61C20189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  <w:lang w:val="en-US"/>
        </w:rPr>
      </w:pPr>
      <w:r w:rsidRPr="00087CD5">
        <w:rPr>
          <w:rFonts w:ascii="Century Schoolbook" w:hAnsi="Century Schoolbook"/>
          <w:i/>
          <w:szCs w:val="22"/>
          <w:lang w:val="en-US"/>
        </w:rPr>
        <w:t>Atomism in Late Medieval Philosophy and Theology</w:t>
      </w:r>
      <w:r w:rsidRPr="00087CD5">
        <w:rPr>
          <w:rFonts w:ascii="Century Schoolbook" w:hAnsi="Century Schoolbook"/>
          <w:szCs w:val="22"/>
          <w:lang w:val="en-US"/>
        </w:rPr>
        <w:t>, C. Grellard et A. Robert (dir.), Brill, Leiden-Boston, 2009</w:t>
      </w:r>
    </w:p>
    <w:p w14:paraId="6AC1C2CD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 xml:space="preserve">Les </w:t>
      </w:r>
      <w:proofErr w:type="spellStart"/>
      <w:r w:rsidRPr="00B826AC">
        <w:rPr>
          <w:rFonts w:ascii="Century Schoolbook" w:hAnsi="Century Schoolbook"/>
          <w:iCs/>
          <w:szCs w:val="22"/>
        </w:rPr>
        <w:t>Parva</w:t>
      </w:r>
      <w:proofErr w:type="spellEnd"/>
      <w:r w:rsidRPr="00B826AC">
        <w:rPr>
          <w:rFonts w:ascii="Century Schoolbook" w:hAnsi="Century Schoolbook"/>
          <w:iCs/>
          <w:szCs w:val="22"/>
        </w:rPr>
        <w:t xml:space="preserve"> Naturalia</w:t>
      </w:r>
      <w:r w:rsidRPr="00087CD5">
        <w:rPr>
          <w:rFonts w:ascii="Century Schoolbook" w:hAnsi="Century Schoolbook"/>
          <w:i/>
          <w:szCs w:val="22"/>
        </w:rPr>
        <w:t xml:space="preserve"> d’Aristote. Fortune antique et médiévale,</w:t>
      </w:r>
      <w:r w:rsidRPr="00087CD5">
        <w:rPr>
          <w:rFonts w:ascii="Century Schoolbook" w:hAnsi="Century Schoolbook"/>
          <w:szCs w:val="22"/>
        </w:rPr>
        <w:t xml:space="preserve"> P.M. Morel et C. Grellard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>.), Publications de la Sorbonne, 2010</w:t>
      </w:r>
    </w:p>
    <w:p w14:paraId="265B311A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Nicolas d’</w:t>
      </w:r>
      <w:proofErr w:type="spellStart"/>
      <w:r w:rsidRPr="00087CD5">
        <w:rPr>
          <w:rFonts w:ascii="Century Schoolbook" w:hAnsi="Century Schoolbook"/>
          <w:i/>
          <w:szCs w:val="22"/>
        </w:rPr>
        <w:t>Autrécourt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et la Faculté des arts de Paris (1317-1340), Actes du colloque de Paris I, 19-21 mai 2005,</w:t>
      </w:r>
      <w:r w:rsidRPr="00087CD5">
        <w:rPr>
          <w:rFonts w:ascii="Century Schoolbook" w:hAnsi="Century Schoolbook"/>
          <w:szCs w:val="22"/>
        </w:rPr>
        <w:t xml:space="preserve"> S. </w:t>
      </w:r>
      <w:proofErr w:type="spellStart"/>
      <w:r w:rsidRPr="00087CD5">
        <w:rPr>
          <w:rFonts w:ascii="Century Schoolbook" w:hAnsi="Century Schoolbook"/>
          <w:szCs w:val="22"/>
        </w:rPr>
        <w:t>Caroti</w:t>
      </w:r>
      <w:proofErr w:type="spellEnd"/>
      <w:r w:rsidRPr="00087CD5">
        <w:rPr>
          <w:rFonts w:ascii="Century Schoolbook" w:hAnsi="Century Schoolbook"/>
          <w:szCs w:val="22"/>
        </w:rPr>
        <w:t xml:space="preserve"> et C. Grellard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proofErr w:type="spellStart"/>
      <w:r w:rsidRPr="00087CD5">
        <w:rPr>
          <w:rFonts w:ascii="Century Schoolbook" w:hAnsi="Century Schoolbook"/>
          <w:szCs w:val="22"/>
        </w:rPr>
        <w:t>Quaderni</w:t>
      </w:r>
      <w:proofErr w:type="spellEnd"/>
      <w:r w:rsidRPr="00087CD5">
        <w:rPr>
          <w:rFonts w:ascii="Century Schoolbook" w:hAnsi="Century Schoolbook"/>
          <w:szCs w:val="22"/>
        </w:rPr>
        <w:t xml:space="preserve"> di </w:t>
      </w:r>
      <w:proofErr w:type="spellStart"/>
      <w:r w:rsidRPr="00087CD5">
        <w:rPr>
          <w:rFonts w:ascii="Century Schoolbook" w:hAnsi="Century Schoolbook"/>
          <w:szCs w:val="22"/>
        </w:rPr>
        <w:t>Paideia</w:t>
      </w:r>
      <w:proofErr w:type="spellEnd"/>
      <w:r w:rsidRPr="00087CD5">
        <w:rPr>
          <w:rFonts w:ascii="Century Schoolbook" w:hAnsi="Century Schoolbook"/>
          <w:szCs w:val="22"/>
        </w:rPr>
        <w:t>, 2006</w:t>
      </w:r>
    </w:p>
    <w:p w14:paraId="13778B3D" w14:textId="77777777" w:rsidR="00C27822" w:rsidRPr="00087CD5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Méthodes et statut des sciences à la fin du moyen âge</w:t>
      </w:r>
      <w:r w:rsidRPr="00087CD5">
        <w:rPr>
          <w:rFonts w:ascii="Century Schoolbook" w:hAnsi="Century Schoolbook"/>
          <w:szCs w:val="22"/>
        </w:rPr>
        <w:t xml:space="preserve">, Lille : Presses Universitaires du Septentrion, 2004 </w:t>
      </w:r>
    </w:p>
    <w:p w14:paraId="6C256000" w14:textId="77777777" w:rsidR="00C27822" w:rsidRDefault="00C27822" w:rsidP="00C27822">
      <w:pPr>
        <w:pStyle w:val="Paragraphedeliste"/>
        <w:numPr>
          <w:ilvl w:val="0"/>
          <w:numId w:val="3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Chemins de la pensée médiévale</w:t>
      </w:r>
      <w:r w:rsidRPr="00087CD5">
        <w:rPr>
          <w:rFonts w:ascii="Century Schoolbook" w:hAnsi="Century Schoolbook"/>
          <w:szCs w:val="22"/>
        </w:rPr>
        <w:t xml:space="preserve">. </w:t>
      </w:r>
      <w:proofErr w:type="spellStart"/>
      <w:r w:rsidRPr="00087CD5">
        <w:rPr>
          <w:rFonts w:ascii="Century Schoolbook" w:hAnsi="Century Schoolbook"/>
          <w:szCs w:val="22"/>
        </w:rPr>
        <w:t>Etudes</w:t>
      </w:r>
      <w:proofErr w:type="spellEnd"/>
      <w:r w:rsidRPr="00087CD5">
        <w:rPr>
          <w:rFonts w:ascii="Century Schoolbook" w:hAnsi="Century Schoolbook"/>
          <w:szCs w:val="22"/>
        </w:rPr>
        <w:t xml:space="preserve"> offertes à Zénon Kaluza, P. Bakker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 avec la collaboration de C. Grellard et E. Faye, Turnhout : </w:t>
      </w:r>
      <w:proofErr w:type="spellStart"/>
      <w:r w:rsidRPr="00087CD5">
        <w:rPr>
          <w:rFonts w:ascii="Century Schoolbook" w:hAnsi="Century Schoolbook"/>
          <w:szCs w:val="22"/>
        </w:rPr>
        <w:t>Brepols</w:t>
      </w:r>
      <w:proofErr w:type="spellEnd"/>
      <w:r w:rsidRPr="00087CD5">
        <w:rPr>
          <w:rFonts w:ascii="Century Schoolbook" w:hAnsi="Century Schoolbook"/>
          <w:szCs w:val="22"/>
        </w:rPr>
        <w:t>, 2002</w:t>
      </w:r>
    </w:p>
    <w:p w14:paraId="70E0CCB8" w14:textId="77777777" w:rsidR="00C27822" w:rsidRPr="00480B43" w:rsidRDefault="00C27822" w:rsidP="00C27822">
      <w:pPr>
        <w:spacing w:line="240" w:lineRule="auto"/>
        <w:rPr>
          <w:rFonts w:ascii="Century Schoolbook" w:eastAsia="MS Mincho" w:hAnsi="Century Schoolbook"/>
          <w:szCs w:val="22"/>
        </w:rPr>
      </w:pPr>
    </w:p>
    <w:p w14:paraId="7B1A9E42" w14:textId="77777777" w:rsidR="00C27822" w:rsidRPr="00087CD5" w:rsidRDefault="00C27822" w:rsidP="00C27822">
      <w:p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="MS Mincho" w:hAnsi="Century Schoolbook"/>
          <w:szCs w:val="22"/>
          <w:u w:val="single"/>
        </w:rPr>
        <w:t>b. Ouvrages personnels</w:t>
      </w:r>
    </w:p>
    <w:p w14:paraId="47364E13" w14:textId="77777777" w:rsidR="00C27822" w:rsidRPr="00480B43" w:rsidRDefault="00C27822" w:rsidP="00C27822">
      <w:pPr>
        <w:pStyle w:val="Paragraphedeliste"/>
        <w:numPr>
          <w:ilvl w:val="0"/>
          <w:numId w:val="4"/>
        </w:numPr>
        <w:spacing w:line="240" w:lineRule="auto"/>
        <w:rPr>
          <w:rFonts w:ascii="Century Schoolbook" w:hAnsi="Century Schoolbook"/>
          <w:szCs w:val="22"/>
        </w:rPr>
      </w:pPr>
      <w:r w:rsidRPr="00480B43">
        <w:rPr>
          <w:rFonts w:ascii="Century Schoolbook" w:hAnsi="Century Schoolbook"/>
          <w:i/>
          <w:iCs/>
          <w:szCs w:val="22"/>
        </w:rPr>
        <w:t>Est-il permis de se tromper ? Penser la tolérance au Moyen Âge</w:t>
      </w:r>
      <w:r>
        <w:rPr>
          <w:rFonts w:ascii="Century Schoolbook" w:hAnsi="Century Schoolbook"/>
          <w:szCs w:val="22"/>
        </w:rPr>
        <w:t>, Paris, Éditions de la Sorbonne, 2026 &lt;version française de 2, préface inédite&gt;</w:t>
      </w:r>
    </w:p>
    <w:p w14:paraId="095E11BD" w14:textId="77777777" w:rsidR="00C27822" w:rsidRPr="00087CD5" w:rsidRDefault="00C27822" w:rsidP="00C27822">
      <w:pPr>
        <w:pStyle w:val="Paragraphedeliste"/>
        <w:numPr>
          <w:ilvl w:val="0"/>
          <w:numId w:val="4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 xml:space="preserve">La </w:t>
      </w:r>
      <w:proofErr w:type="spellStart"/>
      <w:r w:rsidRPr="00087CD5">
        <w:rPr>
          <w:rFonts w:ascii="Century Schoolbook" w:hAnsi="Century Schoolbook"/>
          <w:i/>
          <w:szCs w:val="22"/>
        </w:rPr>
        <w:t>possibilità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dell’errore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. </w:t>
      </w:r>
      <w:proofErr w:type="spellStart"/>
      <w:r w:rsidRPr="00087CD5">
        <w:rPr>
          <w:rFonts w:ascii="Century Schoolbook" w:hAnsi="Century Schoolbook"/>
          <w:i/>
          <w:szCs w:val="22"/>
        </w:rPr>
        <w:t>Pensare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la </w:t>
      </w:r>
      <w:proofErr w:type="spellStart"/>
      <w:r w:rsidRPr="00087CD5">
        <w:rPr>
          <w:rFonts w:ascii="Century Schoolbook" w:hAnsi="Century Schoolbook"/>
          <w:i/>
          <w:szCs w:val="22"/>
        </w:rPr>
        <w:t>tolleranza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nel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medioevo</w:t>
      </w:r>
      <w:proofErr w:type="spellEnd"/>
      <w:r w:rsidRPr="00087CD5">
        <w:rPr>
          <w:rFonts w:ascii="Century Schoolbook" w:hAnsi="Century Schoolbook"/>
          <w:szCs w:val="22"/>
        </w:rPr>
        <w:t xml:space="preserve">, </w:t>
      </w:r>
      <w:proofErr w:type="spellStart"/>
      <w:r w:rsidRPr="00087CD5">
        <w:rPr>
          <w:rFonts w:ascii="Century Schoolbook" w:hAnsi="Century Schoolbook"/>
          <w:szCs w:val="22"/>
        </w:rPr>
        <w:t>Aracne</w:t>
      </w:r>
      <w:proofErr w:type="spellEnd"/>
      <w:r w:rsidRPr="00087CD5">
        <w:rPr>
          <w:rFonts w:ascii="Century Schoolbook" w:hAnsi="Century Schoolbook"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szCs w:val="22"/>
        </w:rPr>
        <w:t>editrice</w:t>
      </w:r>
      <w:proofErr w:type="spellEnd"/>
      <w:r w:rsidRPr="00087CD5">
        <w:rPr>
          <w:rFonts w:ascii="Century Schoolbook" w:hAnsi="Century Schoolbook"/>
          <w:szCs w:val="22"/>
        </w:rPr>
        <w:t>, Roma, 2020</w:t>
      </w:r>
    </w:p>
    <w:p w14:paraId="78DB232C" w14:textId="77777777" w:rsidR="00C27822" w:rsidRPr="00087CD5" w:rsidRDefault="00C27822" w:rsidP="00C27822">
      <w:pPr>
        <w:pStyle w:val="Paragraphedeliste"/>
        <w:numPr>
          <w:ilvl w:val="0"/>
          <w:numId w:val="4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De la certitude volontaire. Débats nominalistes sur la foi à la fin du moyen âge</w:t>
      </w:r>
      <w:r w:rsidRPr="00087CD5">
        <w:rPr>
          <w:rFonts w:ascii="Century Schoolbook" w:hAnsi="Century Schoolbook"/>
          <w:szCs w:val="22"/>
        </w:rPr>
        <w:t>, Paris, Publications de la Sorbonne, 2014</w:t>
      </w:r>
    </w:p>
    <w:p w14:paraId="09E152F0" w14:textId="77777777" w:rsidR="00C27822" w:rsidRPr="00087CD5" w:rsidRDefault="00C27822" w:rsidP="00C27822">
      <w:pPr>
        <w:pStyle w:val="Paragraphedeliste"/>
        <w:numPr>
          <w:ilvl w:val="0"/>
          <w:numId w:val="4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lastRenderedPageBreak/>
        <w:t>Jean de Salisbury et la renaissance médiévale du scepticisme</w:t>
      </w:r>
      <w:r w:rsidRPr="00087CD5">
        <w:rPr>
          <w:rFonts w:ascii="Century Schoolbook" w:hAnsi="Century Schoolbook"/>
          <w:szCs w:val="22"/>
        </w:rPr>
        <w:t>, Paris, Les Belles Lettres, 2013</w:t>
      </w:r>
    </w:p>
    <w:p w14:paraId="24376FB8" w14:textId="77777777" w:rsidR="00C27822" w:rsidRPr="00087CD5" w:rsidRDefault="00C27822" w:rsidP="00C27822">
      <w:pPr>
        <w:pStyle w:val="Paragraphedeliste"/>
        <w:numPr>
          <w:ilvl w:val="0"/>
          <w:numId w:val="4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Le vocabulaire de Guillaume d’Ockham</w:t>
      </w:r>
      <w:r w:rsidRPr="00087CD5">
        <w:rPr>
          <w:rFonts w:ascii="Century Schoolbook" w:hAnsi="Century Schoolbook"/>
          <w:szCs w:val="22"/>
        </w:rPr>
        <w:t xml:space="preserve">, en collaboration avec K. </w:t>
      </w:r>
      <w:proofErr w:type="spellStart"/>
      <w:r w:rsidRPr="00087CD5">
        <w:rPr>
          <w:rFonts w:ascii="Century Schoolbook" w:hAnsi="Century Schoolbook"/>
          <w:szCs w:val="22"/>
        </w:rPr>
        <w:t>Ong</w:t>
      </w:r>
      <w:proofErr w:type="spellEnd"/>
      <w:r w:rsidRPr="00087CD5">
        <w:rPr>
          <w:rFonts w:ascii="Century Schoolbook" w:hAnsi="Century Schoolbook"/>
          <w:szCs w:val="22"/>
        </w:rPr>
        <w:t>, Ellipses, Paris, 2005</w:t>
      </w:r>
    </w:p>
    <w:p w14:paraId="7DC5B7F6" w14:textId="77777777" w:rsidR="00C27822" w:rsidRPr="00087CD5" w:rsidRDefault="00C27822" w:rsidP="00C27822">
      <w:pPr>
        <w:pStyle w:val="Paragraphedeliste"/>
        <w:numPr>
          <w:ilvl w:val="0"/>
          <w:numId w:val="4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i/>
          <w:szCs w:val="22"/>
        </w:rPr>
        <w:t>Croire et savoir. Les principes de la connaissance selon Nicolas d’</w:t>
      </w:r>
      <w:proofErr w:type="spellStart"/>
      <w:r w:rsidRPr="00087CD5">
        <w:rPr>
          <w:rFonts w:ascii="Century Schoolbook" w:hAnsi="Century Schoolbook"/>
          <w:i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, Paris, Vrin, « Études de philosophie médiévale », 2005 </w:t>
      </w:r>
    </w:p>
    <w:p w14:paraId="252F5B92" w14:textId="77777777" w:rsidR="00C27822" w:rsidRPr="00087CD5" w:rsidRDefault="00C27822" w:rsidP="00C27822">
      <w:pPr>
        <w:spacing w:line="240" w:lineRule="auto"/>
        <w:rPr>
          <w:rFonts w:ascii="Century Schoolbook" w:eastAsia="MS Mincho" w:hAnsi="Century Schoolbook"/>
          <w:szCs w:val="22"/>
        </w:rPr>
      </w:pPr>
    </w:p>
    <w:p w14:paraId="24D8A59D" w14:textId="77777777" w:rsidR="00C27822" w:rsidRPr="00087CD5" w:rsidRDefault="00C27822" w:rsidP="00C27822">
      <w:pPr>
        <w:spacing w:line="240" w:lineRule="auto"/>
        <w:rPr>
          <w:rFonts w:ascii="Century Schoolbook" w:eastAsia="MS Mincho" w:hAnsi="Century Schoolbook"/>
          <w:b/>
          <w:bCs/>
          <w:i/>
          <w:szCs w:val="22"/>
        </w:rPr>
      </w:pPr>
      <w:r w:rsidRPr="00087CD5">
        <w:rPr>
          <w:rFonts w:ascii="Century Schoolbook" w:eastAsia="MS Mincho" w:hAnsi="Century Schoolbook"/>
          <w:b/>
          <w:bCs/>
          <w:i/>
          <w:szCs w:val="22"/>
        </w:rPr>
        <w:t>Articles et chapitres de livres</w:t>
      </w:r>
    </w:p>
    <w:p w14:paraId="26564D01" w14:textId="77777777" w:rsidR="00C27822" w:rsidRPr="00087CD5" w:rsidRDefault="00C27822" w:rsidP="00C27822">
      <w:p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="MS Mincho" w:hAnsi="Century Schoolbook"/>
          <w:szCs w:val="22"/>
          <w:u w:val="single"/>
        </w:rPr>
        <w:t xml:space="preserve">Articles dans des revues </w:t>
      </w:r>
    </w:p>
    <w:p w14:paraId="55E23D14" w14:textId="3C661396" w:rsidR="00C27822" w:rsidRPr="00480B43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480B43">
        <w:rPr>
          <w:rFonts w:ascii="Century Schoolbook" w:hAnsi="Century Schoolbook"/>
          <w:szCs w:val="22"/>
        </w:rPr>
        <w:t xml:space="preserve">« L’enseignement de la philosophie à Paris au début du </w:t>
      </w:r>
      <w:proofErr w:type="spellStart"/>
      <w:r w:rsidRPr="00480B43">
        <w:rPr>
          <w:rFonts w:ascii="Century Schoolbook" w:hAnsi="Century Schoolbook" w:cs="Times New Roman (Corps CS)"/>
          <w:smallCaps/>
          <w:szCs w:val="22"/>
        </w:rPr>
        <w:t>xvi</w:t>
      </w:r>
      <w:r w:rsidRPr="00480B43">
        <w:rPr>
          <w:rFonts w:ascii="Century Schoolbook" w:hAnsi="Century Schoolbook"/>
          <w:szCs w:val="22"/>
          <w:vertAlign w:val="superscript"/>
        </w:rPr>
        <w:t>e</w:t>
      </w:r>
      <w:proofErr w:type="spellEnd"/>
      <w:r w:rsidRPr="00480B43">
        <w:rPr>
          <w:rFonts w:ascii="Century Schoolbook" w:hAnsi="Century Schoolbook"/>
          <w:szCs w:val="22"/>
        </w:rPr>
        <w:t xml:space="preserve"> siècle. Le témoignage de deux cahiers d’étudiants fabristes », </w:t>
      </w:r>
      <w:r w:rsidR="00C6413B" w:rsidRPr="00C6413B">
        <w:rPr>
          <w:rFonts w:ascii="Century Schoolbook" w:hAnsi="Century Schoolbook"/>
          <w:i/>
          <w:iCs/>
          <w:szCs w:val="22"/>
        </w:rPr>
        <w:t>Archives d’histoire doctrinale et littéraire du Moyen Âge</w:t>
      </w:r>
      <w:r w:rsidRPr="00480B43">
        <w:rPr>
          <w:rFonts w:ascii="Century Schoolbook" w:hAnsi="Century Schoolbook"/>
          <w:szCs w:val="22"/>
        </w:rPr>
        <w:t xml:space="preserve">, 92 </w:t>
      </w:r>
      <w:r w:rsidR="00C6413B">
        <w:rPr>
          <w:rFonts w:ascii="Century Schoolbook" w:hAnsi="Century Schoolbook"/>
          <w:szCs w:val="22"/>
        </w:rPr>
        <w:t>(</w:t>
      </w:r>
      <w:r w:rsidRPr="00480B43">
        <w:rPr>
          <w:rFonts w:ascii="Century Schoolbook" w:hAnsi="Century Schoolbook"/>
          <w:szCs w:val="22"/>
        </w:rPr>
        <w:t>2025</w:t>
      </w:r>
      <w:r w:rsidR="00C6413B">
        <w:rPr>
          <w:rFonts w:ascii="Century Schoolbook" w:hAnsi="Century Schoolbook"/>
          <w:szCs w:val="22"/>
        </w:rPr>
        <w:t>)</w:t>
      </w:r>
      <w:r w:rsidRPr="00480B43">
        <w:rPr>
          <w:rFonts w:ascii="Century Schoolbook" w:hAnsi="Century Schoolbook"/>
          <w:szCs w:val="22"/>
        </w:rPr>
        <w:t>, p. 209-267</w:t>
      </w:r>
    </w:p>
    <w:p w14:paraId="634E1CC7" w14:textId="77777777" w:rsidR="00C27822" w:rsidRPr="00480B43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480B43">
        <w:rPr>
          <w:rFonts w:ascii="Century Schoolbook" w:hAnsi="Century Schoolbook"/>
          <w:szCs w:val="22"/>
        </w:rPr>
        <w:t xml:space="preserve">« Lire Oresme à la fin du </w:t>
      </w:r>
      <w:proofErr w:type="spellStart"/>
      <w:r w:rsidRPr="00480B43">
        <w:rPr>
          <w:rFonts w:ascii="Century Schoolbook" w:hAnsi="Century Schoolbook"/>
          <w:smallCaps/>
          <w:szCs w:val="22"/>
        </w:rPr>
        <w:t>xv</w:t>
      </w:r>
      <w:r w:rsidRPr="00480B43">
        <w:rPr>
          <w:rFonts w:ascii="Century Schoolbook" w:hAnsi="Century Schoolbook"/>
          <w:szCs w:val="22"/>
          <w:vertAlign w:val="superscript"/>
        </w:rPr>
        <w:t>e</w:t>
      </w:r>
      <w:proofErr w:type="spellEnd"/>
      <w:r w:rsidRPr="00480B43">
        <w:rPr>
          <w:rFonts w:ascii="Century Schoolbook" w:hAnsi="Century Schoolbook"/>
          <w:szCs w:val="22"/>
        </w:rPr>
        <w:t xml:space="preserve"> siècle. </w:t>
      </w:r>
      <w:proofErr w:type="spellStart"/>
      <w:r w:rsidRPr="00480B43">
        <w:rPr>
          <w:rFonts w:ascii="Century Schoolbook" w:hAnsi="Century Schoolbook"/>
          <w:szCs w:val="22"/>
          <w:lang w:val="en"/>
        </w:rPr>
        <w:t>L’exemple</w:t>
      </w:r>
      <w:proofErr w:type="spellEnd"/>
      <w:r w:rsidRPr="00480B43">
        <w:rPr>
          <w:rFonts w:ascii="Century Schoolbook" w:hAnsi="Century Schoolbook"/>
          <w:szCs w:val="22"/>
          <w:lang w:val="en"/>
        </w:rPr>
        <w:t xml:space="preserve"> de Claude Rapine</w:t>
      </w:r>
      <w:r w:rsidRPr="00480B43">
        <w:rPr>
          <w:rFonts w:ascii="Century Schoolbook" w:hAnsi="Century Schoolbook"/>
          <w:szCs w:val="22"/>
        </w:rPr>
        <w:t> », </w:t>
      </w:r>
      <w:proofErr w:type="spellStart"/>
      <w:r w:rsidRPr="00480B43">
        <w:rPr>
          <w:rStyle w:val="Accentuation"/>
          <w:rFonts w:ascii="Century Schoolbook" w:hAnsi="Century Schoolbook"/>
          <w:szCs w:val="22"/>
        </w:rPr>
        <w:t>Methodos</w:t>
      </w:r>
      <w:proofErr w:type="spellEnd"/>
      <w:r w:rsidRPr="00480B43">
        <w:rPr>
          <w:rFonts w:ascii="Century Schoolbook" w:hAnsi="Century Schoolbook"/>
          <w:szCs w:val="22"/>
        </w:rPr>
        <w:t xml:space="preserve"> [En ligne], 25 | 2025, mis en ligne le 01 novembre 2025, consulté le 13 janvier 2026. URL : http://journals.openedition.org/methodos/11676 ; DOI : https://doi.org/10.4000/15c9b</w:t>
      </w:r>
    </w:p>
    <w:p w14:paraId="46B2E971" w14:textId="77777777" w:rsidR="00C27822" w:rsidRPr="00E47F20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E47F20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« John Buridan on the Formation of Scientific Authority », </w:t>
      </w:r>
      <w:r w:rsidRPr="00E47F20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History of Philosophy and Logical Analysis</w:t>
      </w:r>
      <w:r w:rsidRPr="00E47F20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, 28/1 (2025), p. 1-18</w:t>
      </w:r>
    </w:p>
    <w:p w14:paraId="58B26426" w14:textId="77777777" w:rsidR="00C27822" w:rsidRPr="00755D98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755D98">
        <w:rPr>
          <w:rFonts w:ascii="Century Schoolbook" w:eastAsiaTheme="minorEastAsia" w:hAnsi="Century Schoolbook"/>
          <w:color w:val="000000" w:themeColor="text1"/>
          <w:szCs w:val="22"/>
        </w:rPr>
        <w:t xml:space="preserve">« Siger de Brabant, une épistémologie du sens commun ? » </w:t>
      </w:r>
      <w:proofErr w:type="spellStart"/>
      <w:r w:rsidRPr="00755D98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Klesis</w:t>
      </w:r>
      <w:proofErr w:type="spellEnd"/>
      <w:r w:rsidRPr="00755D98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, 57 (2024), http://www.revue-klesis.org/pdf/klesis-57-02-christophe-grellard-siger-brabant-epistemologie-sens-commun.pdf</w:t>
      </w:r>
    </w:p>
    <w:p w14:paraId="4EB8E650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szCs w:val="22"/>
        </w:rPr>
        <w:t xml:space="preserve">« Comment l’hétérodoxie est-elle possible ? Remarques sur le cas </w:t>
      </w:r>
      <w:proofErr w:type="spellStart"/>
      <w:r w:rsidRPr="00087CD5">
        <w:rPr>
          <w:rFonts w:ascii="Century Schoolbook" w:eastAsiaTheme="minorEastAsia" w:hAnsi="Century Schoolbook"/>
          <w:szCs w:val="22"/>
        </w:rPr>
        <w:t>Menocchio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 », </w:t>
      </w:r>
      <w:r w:rsidRPr="00087CD5">
        <w:rPr>
          <w:rFonts w:ascii="Century Schoolbook" w:eastAsiaTheme="minorEastAsia" w:hAnsi="Century Schoolbook"/>
          <w:i/>
          <w:iCs/>
          <w:szCs w:val="22"/>
        </w:rPr>
        <w:t>Cahiers philosophiques</w:t>
      </w:r>
      <w:r w:rsidRPr="00087CD5">
        <w:rPr>
          <w:rFonts w:ascii="Century Schoolbook" w:eastAsiaTheme="minorEastAsia" w:hAnsi="Century Schoolbook"/>
          <w:szCs w:val="22"/>
        </w:rPr>
        <w:t>, 168/1 (2022), pp. 61-76</w:t>
      </w:r>
    </w:p>
    <w:p w14:paraId="2668631B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Theme="minorEastAsia" w:hAnsi="Century Schoolbook"/>
          <w:color w:val="000000" w:themeColor="text1"/>
          <w:szCs w:val="22"/>
        </w:rPr>
      </w:pP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« Vrai foi, fausse loi. Les mutations de la religiosité dans la </w:t>
      </w:r>
      <w:r w:rsidRPr="00087CD5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Chanson de Roland</w:t>
      </w: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 », </w:t>
      </w:r>
      <w:r w:rsidRPr="00087CD5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Médiévales</w:t>
      </w: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, 81 (2021), p. 35-54</w:t>
      </w:r>
    </w:p>
    <w:p w14:paraId="0DAEC6B2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szCs w:val="22"/>
        </w:rPr>
        <w:t xml:space="preserve">« Abélard et la justice.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Aequitas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,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utilitas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,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caritas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 », </w:t>
      </w:r>
      <w:r w:rsidRPr="00087CD5">
        <w:rPr>
          <w:rFonts w:ascii="Century Schoolbook" w:eastAsiaTheme="minorEastAsia" w:hAnsi="Century Schoolbook"/>
          <w:i/>
          <w:iCs/>
          <w:szCs w:val="22"/>
        </w:rPr>
        <w:t>Recherches de Théologie et Philosophie médiévales</w:t>
      </w:r>
      <w:r w:rsidRPr="00087CD5">
        <w:rPr>
          <w:rFonts w:ascii="Century Schoolbook" w:eastAsiaTheme="minorEastAsia" w:hAnsi="Century Schoolbook"/>
          <w:szCs w:val="22"/>
        </w:rPr>
        <w:t>, 88/1 (2021), p. 47-88</w:t>
      </w:r>
    </w:p>
    <w:p w14:paraId="050963DF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szCs w:val="22"/>
        </w:rPr>
        <w:t xml:space="preserve">« Prêcher contre la mécréance. Le problème de l’hétérodoxie dans les sermons de Jean Gerson », </w:t>
      </w:r>
      <w:r w:rsidRPr="00087CD5">
        <w:rPr>
          <w:rFonts w:ascii="Century Schoolbook" w:eastAsiaTheme="minorEastAsia" w:hAnsi="Century Schoolbook"/>
          <w:i/>
          <w:iCs/>
          <w:szCs w:val="22"/>
        </w:rPr>
        <w:t>Études Épistémè</w:t>
      </w:r>
      <w:r w:rsidRPr="00087CD5">
        <w:rPr>
          <w:rFonts w:ascii="Century Schoolbook" w:eastAsiaTheme="minorEastAsia" w:hAnsi="Century Schoolbook"/>
          <w:szCs w:val="22"/>
        </w:rPr>
        <w:t xml:space="preserve"> [En ligne], 38 | 2020, mis en ligne le 01 février 2021, consulté le 09 février 2021. URL : </w:t>
      </w:r>
      <w:hyperlink r:id="rId5" w:history="1">
        <w:r w:rsidRPr="00087CD5">
          <w:rPr>
            <w:rStyle w:val="Lienhypertexte"/>
            <w:rFonts w:ascii="Century Schoolbook" w:eastAsiaTheme="minorEastAsia" w:hAnsi="Century Schoolbook"/>
            <w:szCs w:val="22"/>
          </w:rPr>
          <w:t>http://journals.openedition.org/episteme/8791</w:t>
        </w:r>
      </w:hyperlink>
    </w:p>
    <w:p w14:paraId="5449273F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Comment peut-on croire à la transsubstantiation ? La certitude morale et ses fondements sociaux chez Jean Mair », </w:t>
      </w:r>
      <w:proofErr w:type="spellStart"/>
      <w:r w:rsidRPr="00087CD5">
        <w:rPr>
          <w:rFonts w:ascii="Century Schoolbook" w:hAnsi="Century Schoolbook"/>
          <w:i/>
          <w:szCs w:val="22"/>
        </w:rPr>
        <w:t>Prezglad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Tomistyczny</w:t>
      </w:r>
      <w:proofErr w:type="spellEnd"/>
      <w:r w:rsidRPr="00087CD5">
        <w:rPr>
          <w:rFonts w:ascii="Century Schoolbook" w:hAnsi="Century Schoolbook"/>
          <w:szCs w:val="22"/>
        </w:rPr>
        <w:t>, 24 (2018), p. 627-650</w:t>
      </w:r>
    </w:p>
    <w:p w14:paraId="15736F6F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>« Le scepticisme au Moyen Âge, de saint Augustin à Nicolas d’</w:t>
      </w:r>
      <w:proofErr w:type="spellStart"/>
      <w:r w:rsidRPr="00087CD5">
        <w:rPr>
          <w:rFonts w:ascii="Century Schoolbook" w:hAnsi="Century Schoolbook"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. Réception et transformation d’un problème philosophique », </w:t>
      </w:r>
      <w:r w:rsidRPr="00087CD5">
        <w:rPr>
          <w:rFonts w:ascii="Century Schoolbook" w:hAnsi="Century Schoolbook"/>
          <w:i/>
          <w:szCs w:val="22"/>
        </w:rPr>
        <w:t>Cahiers philosophiques</w:t>
      </w:r>
      <w:r w:rsidRPr="00087CD5">
        <w:rPr>
          <w:rFonts w:ascii="Century Schoolbook" w:hAnsi="Century Schoolbook"/>
          <w:szCs w:val="22"/>
        </w:rPr>
        <w:t>, 153/2 (2018), p. 55-78</w:t>
      </w:r>
    </w:p>
    <w:p w14:paraId="0886BD1C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Une lecture médiévale de Lactance. Le </w:t>
      </w:r>
      <w:proofErr w:type="spellStart"/>
      <w:r w:rsidRPr="00087CD5">
        <w:rPr>
          <w:rFonts w:ascii="Century Schoolbook" w:hAnsi="Century Schoolbook"/>
          <w:i/>
          <w:szCs w:val="22"/>
        </w:rPr>
        <w:t>Lactantius</w:t>
      </w:r>
      <w:proofErr w:type="spellEnd"/>
      <w:r w:rsidRPr="00087CD5">
        <w:rPr>
          <w:rFonts w:ascii="Century Schoolbook" w:hAnsi="Century Schoolbook"/>
          <w:szCs w:val="22"/>
        </w:rPr>
        <w:t xml:space="preserve"> de Jean de Salisbury », </w:t>
      </w:r>
      <w:proofErr w:type="spellStart"/>
      <w:r w:rsidRPr="00087CD5">
        <w:rPr>
          <w:rFonts w:ascii="Century Schoolbook" w:hAnsi="Century Schoolbook"/>
          <w:i/>
          <w:szCs w:val="22"/>
        </w:rPr>
        <w:t>Rivista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di </w:t>
      </w:r>
      <w:proofErr w:type="spellStart"/>
      <w:r w:rsidRPr="00087CD5">
        <w:rPr>
          <w:rFonts w:ascii="Century Schoolbook" w:hAnsi="Century Schoolbook"/>
          <w:i/>
          <w:szCs w:val="22"/>
        </w:rPr>
        <w:t>storia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e </w:t>
      </w:r>
      <w:proofErr w:type="spellStart"/>
      <w:r w:rsidRPr="00087CD5">
        <w:rPr>
          <w:rFonts w:ascii="Century Schoolbook" w:hAnsi="Century Schoolbook"/>
          <w:i/>
          <w:szCs w:val="22"/>
        </w:rPr>
        <w:t>letteratura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religiosa</w:t>
      </w:r>
      <w:proofErr w:type="spellEnd"/>
      <w:r w:rsidRPr="00087CD5">
        <w:rPr>
          <w:rFonts w:ascii="Century Schoolbook" w:hAnsi="Century Schoolbook"/>
          <w:szCs w:val="22"/>
        </w:rPr>
        <w:t>, 53/3 (2018), p. 581-599</w:t>
      </w:r>
    </w:p>
    <w:p w14:paraId="34118F19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Les ambiguïtés de la croyance. A la recherche d’une anthropologie comparée de la croyance », </w:t>
      </w:r>
      <w:r w:rsidRPr="00087CD5">
        <w:rPr>
          <w:rFonts w:ascii="Century Schoolbook" w:hAnsi="Century Schoolbook"/>
          <w:i/>
          <w:szCs w:val="22"/>
        </w:rPr>
        <w:t>Socio-anthropologie</w:t>
      </w:r>
      <w:r w:rsidRPr="00087CD5">
        <w:rPr>
          <w:rFonts w:ascii="Century Schoolbook" w:hAnsi="Century Schoolbook"/>
          <w:szCs w:val="22"/>
        </w:rPr>
        <w:t>, 36 (2017), p. 75-89</w:t>
      </w:r>
    </w:p>
    <w:p w14:paraId="20AB8734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Le sermon comme exercice de casuistique chez Jean Gerson », </w:t>
      </w:r>
      <w:r w:rsidRPr="00087CD5">
        <w:rPr>
          <w:rFonts w:ascii="Century Schoolbook" w:hAnsi="Century Schoolbook"/>
          <w:i/>
          <w:szCs w:val="22"/>
        </w:rPr>
        <w:t>Revue des sciences philosophiques et théologiques</w:t>
      </w:r>
      <w:r w:rsidRPr="00087CD5">
        <w:rPr>
          <w:rFonts w:ascii="Century Schoolbook" w:hAnsi="Century Schoolbook"/>
          <w:szCs w:val="22"/>
        </w:rPr>
        <w:t>, 98 (2014), p. 457-477</w:t>
      </w:r>
    </w:p>
    <w:p w14:paraId="6F6E968D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La </w:t>
      </w:r>
      <w:proofErr w:type="spellStart"/>
      <w:r w:rsidRPr="00087CD5">
        <w:rPr>
          <w:rFonts w:ascii="Century Schoolbook" w:hAnsi="Century Schoolbook"/>
          <w:i/>
          <w:szCs w:val="22"/>
        </w:rPr>
        <w:t>fides</w:t>
      </w:r>
      <w:proofErr w:type="spellEnd"/>
      <w:r w:rsidRPr="00087CD5">
        <w:rPr>
          <w:rFonts w:ascii="Century Schoolbook" w:hAnsi="Century Schoolbook"/>
          <w:szCs w:val="22"/>
        </w:rPr>
        <w:t xml:space="preserve"> chez Guillaume d’Ockham, de la psychologie à l’ecclésiologie », </w:t>
      </w:r>
      <w:r w:rsidRPr="00087CD5">
        <w:rPr>
          <w:rFonts w:ascii="Century Schoolbook" w:hAnsi="Century Schoolbook"/>
          <w:i/>
          <w:szCs w:val="22"/>
        </w:rPr>
        <w:t>Archa Verbi. Subsidia</w:t>
      </w:r>
      <w:r w:rsidRPr="00087CD5">
        <w:rPr>
          <w:rFonts w:ascii="Century Schoolbook" w:hAnsi="Century Schoolbook"/>
          <w:szCs w:val="22"/>
        </w:rPr>
        <w:t>, 12 (2014), p. 335-367</w:t>
      </w:r>
    </w:p>
    <w:p w14:paraId="00929610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La seconde acculturation chrétienne de Cicéron : la réception des </w:t>
      </w:r>
      <w:r w:rsidRPr="00087CD5">
        <w:rPr>
          <w:rFonts w:ascii="Century Schoolbook" w:hAnsi="Century Schoolbook"/>
          <w:i/>
          <w:szCs w:val="22"/>
        </w:rPr>
        <w:t>Académiques</w:t>
      </w:r>
      <w:r w:rsidRPr="00087CD5">
        <w:rPr>
          <w:rFonts w:ascii="Century Schoolbook" w:hAnsi="Century Schoolbook"/>
          <w:szCs w:val="22"/>
        </w:rPr>
        <w:t xml:space="preserve"> du </w:t>
      </w:r>
      <w:r w:rsidRPr="00087CD5">
        <w:rPr>
          <w:rFonts w:ascii="Century Schoolbook" w:hAnsi="Century Schoolbook"/>
          <w:smallCaps/>
          <w:szCs w:val="22"/>
        </w:rPr>
        <w:t>ix</w:t>
      </w:r>
      <w:r w:rsidRPr="00087CD5">
        <w:rPr>
          <w:rFonts w:ascii="Century Schoolbook" w:hAnsi="Century Schoolbook"/>
          <w:szCs w:val="22"/>
          <w:vertAlign w:val="superscript"/>
        </w:rPr>
        <w:t>e</w:t>
      </w:r>
      <w:r w:rsidRPr="00087CD5">
        <w:rPr>
          <w:rFonts w:ascii="Century Schoolbook" w:hAnsi="Century Schoolbook"/>
          <w:szCs w:val="22"/>
        </w:rPr>
        <w:t xml:space="preserve"> au </w:t>
      </w:r>
      <w:r w:rsidRPr="00087CD5">
        <w:rPr>
          <w:rFonts w:ascii="Century Schoolbook" w:hAnsi="Century Schoolbook"/>
          <w:smallCaps/>
          <w:szCs w:val="22"/>
        </w:rPr>
        <w:t>xii</w:t>
      </w:r>
      <w:r w:rsidRPr="00087CD5">
        <w:rPr>
          <w:rFonts w:ascii="Century Schoolbook" w:hAnsi="Century Schoolbook"/>
          <w:szCs w:val="22"/>
          <w:vertAlign w:val="superscript"/>
        </w:rPr>
        <w:t>e</w:t>
      </w:r>
      <w:r w:rsidRPr="00087CD5">
        <w:rPr>
          <w:rFonts w:ascii="Century Schoolbook" w:hAnsi="Century Schoolbook"/>
          <w:szCs w:val="22"/>
        </w:rPr>
        <w:t xml:space="preserve"> siècle », </w:t>
      </w:r>
      <w:r w:rsidRPr="00087CD5">
        <w:rPr>
          <w:rFonts w:ascii="Century Schoolbook" w:hAnsi="Century Schoolbook"/>
          <w:i/>
          <w:szCs w:val="22"/>
        </w:rPr>
        <w:t xml:space="preserve">Astérion, </w:t>
      </w:r>
      <w:r w:rsidRPr="00087CD5">
        <w:rPr>
          <w:rFonts w:ascii="Century Schoolbook" w:hAnsi="Century Schoolbook"/>
          <w:szCs w:val="22"/>
        </w:rPr>
        <w:t xml:space="preserve">11 (2013) : </w:t>
      </w:r>
      <w:hyperlink r:id="rId6" w:history="1">
        <w:r w:rsidRPr="00087CD5">
          <w:rPr>
            <w:rStyle w:val="Lienhypertexte"/>
            <w:rFonts w:ascii="Century Schoolbook" w:hAnsi="Century Schoolbook"/>
            <w:szCs w:val="22"/>
          </w:rPr>
          <w:t>http://asterion.revues.org/2350</w:t>
        </w:r>
      </w:hyperlink>
    </w:p>
    <w:p w14:paraId="12939A97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Nicole Oresme et l’élaboration d’une science pour les laïcs, entre </w:t>
      </w:r>
      <w:proofErr w:type="spellStart"/>
      <w:r w:rsidRPr="00087CD5">
        <w:rPr>
          <w:rFonts w:ascii="Century Schoolbook" w:hAnsi="Century Schoolbook"/>
          <w:i/>
          <w:szCs w:val="22"/>
        </w:rPr>
        <w:t>esbatement</w:t>
      </w:r>
      <w:proofErr w:type="spellEnd"/>
      <w:r w:rsidRPr="00087CD5">
        <w:rPr>
          <w:rFonts w:ascii="Century Schoolbook" w:hAnsi="Century Schoolbook"/>
          <w:szCs w:val="22"/>
        </w:rPr>
        <w:t xml:space="preserve"> et contemplation », </w:t>
      </w:r>
      <w:r w:rsidRPr="00087CD5">
        <w:rPr>
          <w:rFonts w:ascii="Century Schoolbook" w:hAnsi="Century Schoolbook"/>
          <w:i/>
          <w:szCs w:val="22"/>
        </w:rPr>
        <w:t xml:space="preserve">Freiburger </w:t>
      </w:r>
      <w:proofErr w:type="spellStart"/>
      <w:r w:rsidRPr="00087CD5">
        <w:rPr>
          <w:rFonts w:ascii="Century Schoolbook" w:hAnsi="Century Schoolbook"/>
          <w:i/>
          <w:szCs w:val="22"/>
        </w:rPr>
        <w:t>Zeitschrift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für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Philosophie </w:t>
      </w:r>
      <w:proofErr w:type="spellStart"/>
      <w:r w:rsidRPr="00087CD5">
        <w:rPr>
          <w:rFonts w:ascii="Century Schoolbook" w:hAnsi="Century Schoolbook"/>
          <w:i/>
          <w:szCs w:val="22"/>
        </w:rPr>
        <w:t>und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Theologie</w:t>
      </w:r>
      <w:proofErr w:type="spellEnd"/>
      <w:r w:rsidRPr="00087CD5">
        <w:rPr>
          <w:rFonts w:ascii="Century Schoolbook" w:hAnsi="Century Schoolbook"/>
          <w:szCs w:val="22"/>
        </w:rPr>
        <w:t>, 59/2 (2012), p. 447-463</w:t>
      </w:r>
    </w:p>
    <w:p w14:paraId="439E3DDE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Scepticisme et incroyance. La querelle entre Pierre Abélard et Guillaume de Saint-Thierry sur le statut de la foi », </w:t>
      </w:r>
      <w:proofErr w:type="spellStart"/>
      <w:r w:rsidRPr="00087CD5">
        <w:rPr>
          <w:rFonts w:ascii="Century Schoolbook" w:hAnsi="Century Schoolbook"/>
          <w:i/>
          <w:szCs w:val="22"/>
        </w:rPr>
        <w:t>Citeaux</w:t>
      </w:r>
      <w:proofErr w:type="spellEnd"/>
      <w:r w:rsidRPr="00087CD5">
        <w:rPr>
          <w:rFonts w:ascii="Century Schoolbook" w:hAnsi="Century Schoolbook"/>
          <w:szCs w:val="22"/>
        </w:rPr>
        <w:t>, 63 (2012), p. 245-262</w:t>
      </w:r>
    </w:p>
    <w:p w14:paraId="28B836AB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lastRenderedPageBreak/>
        <w:t xml:space="preserve">« Dieu, les autres et moi : la hiérarchie des dilections à la fin du Moyen Âge », </w:t>
      </w:r>
      <w:r w:rsidRPr="00087CD5">
        <w:rPr>
          <w:rFonts w:ascii="Century Schoolbook" w:hAnsi="Century Schoolbook"/>
          <w:i/>
          <w:szCs w:val="22"/>
        </w:rPr>
        <w:t>Médiévales</w:t>
      </w:r>
      <w:r w:rsidRPr="00087CD5">
        <w:rPr>
          <w:rFonts w:ascii="Century Schoolbook" w:hAnsi="Century Schoolbook"/>
          <w:szCs w:val="22"/>
        </w:rPr>
        <w:t>, 63 (2012), p. 105-122.</w:t>
      </w:r>
    </w:p>
    <w:p w14:paraId="3E160527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Peut-on connaître quelque chose de nouveau ? Variations médiévales sur l’argument du </w:t>
      </w:r>
      <w:r w:rsidRPr="00087CD5">
        <w:rPr>
          <w:rFonts w:ascii="Century Schoolbook" w:hAnsi="Century Schoolbook"/>
          <w:i/>
          <w:szCs w:val="22"/>
        </w:rPr>
        <w:t>Ménon</w:t>
      </w:r>
      <w:r w:rsidRPr="00087CD5">
        <w:rPr>
          <w:rFonts w:ascii="Century Schoolbook" w:hAnsi="Century Schoolbook"/>
          <w:szCs w:val="22"/>
        </w:rPr>
        <w:t xml:space="preserve"> », </w:t>
      </w:r>
      <w:r w:rsidRPr="00087CD5">
        <w:rPr>
          <w:rFonts w:ascii="Century Schoolbook" w:hAnsi="Century Schoolbook"/>
          <w:i/>
          <w:szCs w:val="22"/>
        </w:rPr>
        <w:t>Revue philosophique de la France et de l’étranger</w:t>
      </w:r>
      <w:r w:rsidRPr="00087CD5">
        <w:rPr>
          <w:rFonts w:ascii="Century Schoolbook" w:hAnsi="Century Schoolbook"/>
          <w:szCs w:val="22"/>
        </w:rPr>
        <w:t>, 201/1 (2011), p. 37-66</w:t>
      </w:r>
    </w:p>
    <w:p w14:paraId="6DD08A7F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La religion comme technique de gouvernement chez Jean de Salisbury », </w:t>
      </w:r>
      <w:r w:rsidRPr="00087CD5">
        <w:rPr>
          <w:rFonts w:ascii="Century Schoolbook" w:hAnsi="Century Schoolbook"/>
          <w:i/>
          <w:szCs w:val="22"/>
        </w:rPr>
        <w:t>Cahiers de civilisation médiévale</w:t>
      </w:r>
      <w:r w:rsidRPr="00087CD5">
        <w:rPr>
          <w:rFonts w:ascii="Century Schoolbook" w:hAnsi="Century Schoolbook"/>
          <w:szCs w:val="22"/>
        </w:rPr>
        <w:t>, 53 (2010), p. 237-254</w:t>
      </w:r>
    </w:p>
    <w:p w14:paraId="745E2877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 xml:space="preserve">« Le socratisme de Jean de Salisbury », in </w:t>
      </w:r>
      <w:proofErr w:type="spellStart"/>
      <w:proofErr w:type="gramStart"/>
      <w:r w:rsidRPr="00087CD5">
        <w:rPr>
          <w:rFonts w:ascii="Century Schoolbook" w:hAnsi="Century Schoolbook"/>
          <w:szCs w:val="22"/>
        </w:rPr>
        <w:t>S.Mayer</w:t>
      </w:r>
      <w:proofErr w:type="spellEnd"/>
      <w:proofErr w:type="gramEnd"/>
      <w:r w:rsidRPr="00087CD5">
        <w:rPr>
          <w:rFonts w:ascii="Century Schoolbook" w:hAnsi="Century Schoolbook"/>
          <w:szCs w:val="22"/>
        </w:rPr>
        <w:t xml:space="preserve"> (éd.), </w:t>
      </w:r>
      <w:r w:rsidRPr="00087CD5">
        <w:rPr>
          <w:rFonts w:ascii="Century Schoolbook" w:hAnsi="Century Schoolbook"/>
          <w:i/>
          <w:szCs w:val="22"/>
        </w:rPr>
        <w:t>Réception philosophique de la figure de Socrate</w:t>
      </w:r>
      <w:r w:rsidRPr="00087CD5">
        <w:rPr>
          <w:rFonts w:ascii="Century Schoolbook" w:hAnsi="Century Schoolbook"/>
          <w:szCs w:val="22"/>
        </w:rPr>
        <w:t xml:space="preserve">, </w:t>
      </w:r>
      <w:r w:rsidRPr="00087CD5">
        <w:rPr>
          <w:rFonts w:ascii="Century Schoolbook" w:hAnsi="Century Schoolbook"/>
          <w:i/>
          <w:szCs w:val="22"/>
        </w:rPr>
        <w:t xml:space="preserve">Diagonale φ </w:t>
      </w:r>
      <w:r w:rsidRPr="00087CD5">
        <w:rPr>
          <w:rFonts w:ascii="Century Schoolbook" w:hAnsi="Century Schoolbook"/>
          <w:szCs w:val="22"/>
        </w:rPr>
        <w:t xml:space="preserve">2 (2008), p. 35-59 </w:t>
      </w:r>
    </w:p>
    <w:p w14:paraId="5B4340A9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hAnsi="Century Schoolbook"/>
          <w:szCs w:val="22"/>
          <w:lang w:val="en-US"/>
        </w:rPr>
      </w:pPr>
      <w:r w:rsidRPr="00087CD5">
        <w:rPr>
          <w:rFonts w:ascii="Century Schoolbook" w:hAnsi="Century Schoolbook"/>
          <w:color w:val="000000"/>
          <w:szCs w:val="22"/>
          <w:lang w:val="en-US"/>
        </w:rPr>
        <w:t>« </w:t>
      </w:r>
      <w:proofErr w:type="spellStart"/>
      <w:r w:rsidRPr="00087CD5">
        <w:rPr>
          <w:rFonts w:ascii="Century Schoolbook" w:eastAsia="Times New Roman" w:hAnsi="Century Schoolbook"/>
          <w:sz w:val="24"/>
        </w:rPr>
        <w:fldChar w:fldCharType="begin"/>
      </w:r>
      <w:r w:rsidRPr="001F23B3">
        <w:rPr>
          <w:rFonts w:ascii="Century Schoolbook" w:hAnsi="Century Schoolbook"/>
          <w:lang w:val="en-US"/>
        </w:rPr>
        <w:instrText xml:space="preserve"> HYPERLINK "http://www.ingentaconnect.com/content/brill/viv/2007/00000045/F0020002/art00014" </w:instrText>
      </w:r>
      <w:r w:rsidRPr="00087CD5">
        <w:rPr>
          <w:rFonts w:ascii="Century Schoolbook" w:eastAsia="Times New Roman" w:hAnsi="Century Schoolbook"/>
          <w:sz w:val="24"/>
        </w:rPr>
      </w:r>
      <w:r w:rsidRPr="00087CD5">
        <w:rPr>
          <w:rFonts w:ascii="Century Schoolbook" w:eastAsia="Times New Roman" w:hAnsi="Century Schoolbook"/>
          <w:sz w:val="24"/>
        </w:rPr>
        <w:fldChar w:fldCharType="separate"/>
      </w:r>
      <w:r w:rsidRPr="00087CD5">
        <w:rPr>
          <w:rFonts w:ascii="Century Schoolbook" w:eastAsia="Arial Unicode MS" w:hAnsi="Century Schoolbook"/>
          <w:szCs w:val="22"/>
          <w:lang w:val="en-US"/>
        </w:rPr>
        <w:t>Scepticism</w:t>
      </w:r>
      <w:proofErr w:type="spellEnd"/>
      <w:r w:rsidRPr="00087CD5">
        <w:rPr>
          <w:rFonts w:ascii="Century Schoolbook" w:eastAsia="Arial Unicode MS" w:hAnsi="Century Schoolbook"/>
          <w:szCs w:val="22"/>
          <w:lang w:val="en-US"/>
        </w:rPr>
        <w:t xml:space="preserve">, Demonstration and the Infinite Regress Argument (Nicholas of </w:t>
      </w:r>
      <w:proofErr w:type="spellStart"/>
      <w:r w:rsidRPr="00087CD5">
        <w:rPr>
          <w:rFonts w:ascii="Century Schoolbook" w:eastAsia="Arial Unicode MS" w:hAnsi="Century Schoolbook"/>
          <w:szCs w:val="22"/>
          <w:lang w:val="en-US"/>
        </w:rPr>
        <w:t>Autrecourt</w:t>
      </w:r>
      <w:proofErr w:type="spellEnd"/>
      <w:r w:rsidRPr="00087CD5">
        <w:rPr>
          <w:rFonts w:ascii="Century Schoolbook" w:eastAsia="Arial Unicode MS" w:hAnsi="Century Schoolbook"/>
          <w:szCs w:val="22"/>
          <w:lang w:val="en-US"/>
        </w:rPr>
        <w:t xml:space="preserve"> and John Buridan)</w:t>
      </w:r>
      <w:r w:rsidRPr="00087CD5">
        <w:rPr>
          <w:rFonts w:ascii="Century Schoolbook" w:eastAsia="Arial Unicode MS" w:hAnsi="Century Schoolbook"/>
          <w:szCs w:val="22"/>
          <w:lang w:val="en-US"/>
        </w:rPr>
        <w:fldChar w:fldCharType="end"/>
      </w:r>
      <w:r w:rsidRPr="00087CD5">
        <w:rPr>
          <w:rFonts w:ascii="Century Schoolbook" w:hAnsi="Century Schoolbook"/>
          <w:color w:val="000000"/>
          <w:szCs w:val="22"/>
          <w:lang w:val="en-US"/>
        </w:rPr>
        <w:t> </w:t>
      </w:r>
      <w:r w:rsidRPr="00087CD5">
        <w:rPr>
          <w:rFonts w:ascii="Century Schoolbook" w:hAnsi="Century Schoolbook"/>
          <w:szCs w:val="22"/>
          <w:lang w:val="en-US"/>
        </w:rPr>
        <w:t xml:space="preserve">», </w:t>
      </w:r>
      <w:r w:rsidRPr="00087CD5">
        <w:rPr>
          <w:rFonts w:ascii="Century Schoolbook" w:hAnsi="Century Schoolbook"/>
          <w:i/>
          <w:szCs w:val="22"/>
          <w:lang w:val="en-US"/>
        </w:rPr>
        <w:t>Vivarium</w:t>
      </w:r>
      <w:r w:rsidRPr="00087CD5">
        <w:rPr>
          <w:rFonts w:ascii="Century Schoolbook" w:hAnsi="Century Schoolbook"/>
          <w:szCs w:val="22"/>
          <w:lang w:val="en-US"/>
        </w:rPr>
        <w:t xml:space="preserve">, 42/2-3 (2007), p. 328-342 </w:t>
      </w:r>
    </w:p>
    <w:p w14:paraId="3E146EBC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 xml:space="preserve">« Jean de Salisbury. Un cas médiéval de scepticisme », </w:t>
      </w:r>
      <w:r w:rsidRPr="00087CD5">
        <w:rPr>
          <w:rFonts w:ascii="Century Schoolbook" w:hAnsi="Century Schoolbook"/>
          <w:i/>
          <w:szCs w:val="22"/>
        </w:rPr>
        <w:t xml:space="preserve">Freiburger </w:t>
      </w:r>
      <w:proofErr w:type="spellStart"/>
      <w:r w:rsidRPr="00087CD5">
        <w:rPr>
          <w:rFonts w:ascii="Century Schoolbook" w:hAnsi="Century Schoolbook"/>
          <w:i/>
          <w:szCs w:val="22"/>
        </w:rPr>
        <w:t>Zeitschrift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für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Theologie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und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Philosophie</w:t>
      </w:r>
      <w:r w:rsidRPr="00087CD5">
        <w:rPr>
          <w:rFonts w:ascii="Century Schoolbook" w:hAnsi="Century Schoolbook"/>
          <w:szCs w:val="22"/>
        </w:rPr>
        <w:t xml:space="preserve">, 54 (2007), p. 16-40 </w:t>
      </w:r>
    </w:p>
    <w:p w14:paraId="30E8E5E2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>« </w:t>
      </w:r>
      <w:proofErr w:type="spellStart"/>
      <w:r w:rsidRPr="00087CD5">
        <w:rPr>
          <w:rFonts w:ascii="Century Schoolbook" w:hAnsi="Century Schoolbook"/>
          <w:i/>
          <w:szCs w:val="22"/>
        </w:rPr>
        <w:t>Sicut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specula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sine macula</w:t>
      </w:r>
      <w:r w:rsidRPr="00087CD5">
        <w:rPr>
          <w:rFonts w:ascii="Century Schoolbook" w:hAnsi="Century Schoolbook"/>
          <w:szCs w:val="22"/>
        </w:rPr>
        <w:t>. La perception et son objet chez Nicolas d’</w:t>
      </w:r>
      <w:proofErr w:type="spellStart"/>
      <w:r w:rsidRPr="00087CD5">
        <w:rPr>
          <w:rFonts w:ascii="Century Schoolbook" w:hAnsi="Century Schoolbook"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 », dans A. Vasiliu (éd.), </w:t>
      </w:r>
      <w:r w:rsidRPr="00087CD5">
        <w:rPr>
          <w:rFonts w:ascii="Century Schoolbook" w:hAnsi="Century Schoolbook"/>
          <w:i/>
          <w:szCs w:val="22"/>
        </w:rPr>
        <w:t>Image et représentation dans la pensée médiévale</w:t>
      </w:r>
      <w:r w:rsidRPr="00087CD5">
        <w:rPr>
          <w:rFonts w:ascii="Century Schoolbook" w:hAnsi="Century Schoolbook"/>
          <w:szCs w:val="22"/>
        </w:rPr>
        <w:t xml:space="preserve">, </w:t>
      </w:r>
      <w:r w:rsidRPr="00087CD5">
        <w:rPr>
          <w:rFonts w:ascii="Century Schoolbook" w:hAnsi="Century Schoolbook"/>
          <w:i/>
          <w:szCs w:val="22"/>
        </w:rPr>
        <w:t>Chôra. Revue d’études anciennes et médiévales</w:t>
      </w:r>
      <w:r w:rsidRPr="00087CD5">
        <w:rPr>
          <w:rFonts w:ascii="Century Schoolbook" w:hAnsi="Century Schoolbook"/>
          <w:szCs w:val="22"/>
        </w:rPr>
        <w:t xml:space="preserve">, 3-4 (2005-2006), p. 229-250 </w:t>
      </w:r>
    </w:p>
    <w:p w14:paraId="71C7E2CB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>« </w:t>
      </w:r>
      <w:proofErr w:type="spellStart"/>
      <w:r w:rsidRPr="00087CD5">
        <w:rPr>
          <w:rFonts w:ascii="Century Schoolbook" w:hAnsi="Century Schoolbook"/>
          <w:szCs w:val="22"/>
        </w:rPr>
        <w:t>Evidência</w:t>
      </w:r>
      <w:proofErr w:type="spellEnd"/>
      <w:r w:rsidRPr="00087CD5">
        <w:rPr>
          <w:rFonts w:ascii="Century Schoolbook" w:hAnsi="Century Schoolbook"/>
          <w:szCs w:val="22"/>
        </w:rPr>
        <w:t xml:space="preserve"> ou </w:t>
      </w:r>
      <w:proofErr w:type="spellStart"/>
      <w:r w:rsidRPr="00087CD5">
        <w:rPr>
          <w:rFonts w:ascii="Century Schoolbook" w:hAnsi="Century Schoolbook"/>
          <w:szCs w:val="22"/>
        </w:rPr>
        <w:t>probabilidade</w:t>
      </w:r>
      <w:proofErr w:type="spellEnd"/>
      <w:r w:rsidRPr="00087CD5">
        <w:rPr>
          <w:rFonts w:ascii="Century Schoolbook" w:hAnsi="Century Schoolbook"/>
          <w:szCs w:val="22"/>
        </w:rPr>
        <w:t xml:space="preserve"> ? Os </w:t>
      </w:r>
      <w:proofErr w:type="spellStart"/>
      <w:r w:rsidRPr="00087CD5">
        <w:rPr>
          <w:rFonts w:ascii="Century Schoolbook" w:hAnsi="Century Schoolbook"/>
          <w:szCs w:val="22"/>
        </w:rPr>
        <w:t>debates</w:t>
      </w:r>
      <w:proofErr w:type="spellEnd"/>
      <w:r w:rsidRPr="00087CD5">
        <w:rPr>
          <w:rFonts w:ascii="Century Schoolbook" w:hAnsi="Century Schoolbook"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szCs w:val="22"/>
        </w:rPr>
        <w:t>acerca</w:t>
      </w:r>
      <w:proofErr w:type="spellEnd"/>
      <w:r w:rsidRPr="00087CD5">
        <w:rPr>
          <w:rFonts w:ascii="Century Schoolbook" w:hAnsi="Century Schoolbook"/>
          <w:szCs w:val="22"/>
        </w:rPr>
        <w:t xml:space="preserve"> da </w:t>
      </w:r>
      <w:proofErr w:type="spellStart"/>
      <w:r w:rsidRPr="00087CD5">
        <w:rPr>
          <w:rFonts w:ascii="Century Schoolbook" w:hAnsi="Century Schoolbook"/>
          <w:szCs w:val="22"/>
        </w:rPr>
        <w:t>justificação</w:t>
      </w:r>
      <w:proofErr w:type="spellEnd"/>
      <w:r w:rsidRPr="00087CD5">
        <w:rPr>
          <w:rFonts w:ascii="Century Schoolbook" w:hAnsi="Century Schoolbook"/>
          <w:szCs w:val="22"/>
        </w:rPr>
        <w:t xml:space="preserve"> da </w:t>
      </w:r>
      <w:proofErr w:type="spellStart"/>
      <w:r w:rsidRPr="00087CD5">
        <w:rPr>
          <w:rFonts w:ascii="Century Schoolbook" w:hAnsi="Century Schoolbook"/>
          <w:szCs w:val="22"/>
        </w:rPr>
        <w:t>indução</w:t>
      </w:r>
      <w:proofErr w:type="spellEnd"/>
      <w:r w:rsidRPr="00087CD5">
        <w:rPr>
          <w:rFonts w:ascii="Century Schoolbook" w:hAnsi="Century Schoolbook"/>
          <w:szCs w:val="22"/>
        </w:rPr>
        <w:t xml:space="preserve"> no </w:t>
      </w:r>
      <w:proofErr w:type="spellStart"/>
      <w:r w:rsidRPr="00087CD5">
        <w:rPr>
          <w:rFonts w:ascii="Century Schoolbook" w:hAnsi="Century Schoolbook"/>
          <w:szCs w:val="22"/>
        </w:rPr>
        <w:t>século</w:t>
      </w:r>
      <w:proofErr w:type="spellEnd"/>
      <w:r w:rsidRPr="00087CD5">
        <w:rPr>
          <w:rFonts w:ascii="Century Schoolbook" w:hAnsi="Century Schoolbook"/>
          <w:szCs w:val="22"/>
        </w:rPr>
        <w:t xml:space="preserve"> XIV » [</w:t>
      </w:r>
      <w:proofErr w:type="spellStart"/>
      <w:r w:rsidRPr="00087CD5">
        <w:rPr>
          <w:rFonts w:ascii="Century Schoolbook" w:hAnsi="Century Schoolbook"/>
          <w:szCs w:val="22"/>
        </w:rPr>
        <w:t>Evidence</w:t>
      </w:r>
      <w:proofErr w:type="spellEnd"/>
      <w:r w:rsidRPr="00087CD5">
        <w:rPr>
          <w:rFonts w:ascii="Century Schoolbook" w:hAnsi="Century Schoolbook"/>
          <w:szCs w:val="22"/>
        </w:rPr>
        <w:t xml:space="preserve"> ou probabilité ? Les débats sur la justification de l’induction au 14</w:t>
      </w:r>
      <w:r w:rsidRPr="00087CD5">
        <w:rPr>
          <w:rFonts w:ascii="Century Schoolbook" w:hAnsi="Century Schoolbook"/>
          <w:szCs w:val="22"/>
          <w:vertAlign w:val="superscript"/>
        </w:rPr>
        <w:t>e</w:t>
      </w:r>
      <w:r w:rsidRPr="00087CD5">
        <w:rPr>
          <w:rFonts w:ascii="Century Schoolbook" w:hAnsi="Century Schoolbook"/>
          <w:szCs w:val="22"/>
        </w:rPr>
        <w:t xml:space="preserve"> siècle], </w:t>
      </w:r>
      <w:proofErr w:type="spellStart"/>
      <w:r w:rsidRPr="00087CD5">
        <w:rPr>
          <w:rFonts w:ascii="Century Schoolbook" w:hAnsi="Century Schoolbook"/>
          <w:i/>
          <w:szCs w:val="22"/>
        </w:rPr>
        <w:t>Cadernos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de Historia e </w:t>
      </w:r>
      <w:proofErr w:type="spellStart"/>
      <w:r w:rsidRPr="00087CD5">
        <w:rPr>
          <w:rFonts w:ascii="Century Schoolbook" w:hAnsi="Century Schoolbook"/>
          <w:i/>
          <w:szCs w:val="22"/>
        </w:rPr>
        <w:t>Filosofia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da </w:t>
      </w:r>
      <w:proofErr w:type="spellStart"/>
      <w:r w:rsidRPr="00087CD5">
        <w:rPr>
          <w:rFonts w:ascii="Century Schoolbook" w:hAnsi="Century Schoolbook"/>
          <w:i/>
          <w:szCs w:val="22"/>
        </w:rPr>
        <w:t>Ciência</w:t>
      </w:r>
      <w:proofErr w:type="spellEnd"/>
      <w:r w:rsidRPr="00087CD5">
        <w:rPr>
          <w:rFonts w:ascii="Century Schoolbook" w:hAnsi="Century Schoolbook"/>
          <w:szCs w:val="22"/>
        </w:rPr>
        <w:t xml:space="preserve">, 16 (2006), p. 411-434 </w:t>
      </w:r>
    </w:p>
    <w:p w14:paraId="1C5481D4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hAnsi="Century Schoolbook"/>
          <w:color w:val="000000" w:themeColor="text1"/>
          <w:szCs w:val="22"/>
        </w:rPr>
      </w:pPr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« Do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>evidente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 ao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>provável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. As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>modalidades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 do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>assentimento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>segundo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 Pedro de Ailly » [De l’évident au probable. Les modalités de l’assentiment selon Pierre d’Ailly],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i/>
          <w:color w:val="000000" w:themeColor="text1"/>
          <w:szCs w:val="22"/>
          <w:u w:val="none"/>
        </w:rPr>
        <w:t>Revista</w:t>
      </w:r>
      <w:proofErr w:type="spellEnd"/>
      <w:r w:rsidRPr="00087CD5">
        <w:rPr>
          <w:rStyle w:val="Lienhypertexte"/>
          <w:rFonts w:ascii="Century Schoolbook" w:eastAsiaTheme="majorEastAsia" w:hAnsi="Century Schoolbook"/>
          <w:i/>
          <w:color w:val="000000" w:themeColor="text1"/>
          <w:szCs w:val="22"/>
          <w:u w:val="none"/>
        </w:rPr>
        <w:t xml:space="preserve">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i/>
          <w:color w:val="000000" w:themeColor="text1"/>
          <w:szCs w:val="22"/>
          <w:u w:val="none"/>
        </w:rPr>
        <w:t>Analytica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, 89-1 (2005), </w:t>
      </w:r>
      <w:r w:rsidRPr="00087CD5">
        <w:rPr>
          <w:rFonts w:ascii="Century Schoolbook" w:hAnsi="Century Schoolbook"/>
          <w:color w:val="000000" w:themeColor="text1"/>
          <w:szCs w:val="22"/>
        </w:rPr>
        <w:t xml:space="preserve">p. 39-65 </w:t>
      </w:r>
    </w:p>
    <w:p w14:paraId="7105740F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hAnsi="Century Schoolbook"/>
          <w:color w:val="000000" w:themeColor="text1"/>
          <w:szCs w:val="22"/>
        </w:rPr>
      </w:pPr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« Comment peut-on se fier à l’expérience ? Esquisse d’une typologie des réponses médiévales au scepticisme »,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i/>
          <w:color w:val="000000" w:themeColor="text1"/>
          <w:szCs w:val="22"/>
          <w:u w:val="none"/>
        </w:rPr>
        <w:t>Quaestio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, 4 (2004), </w:t>
      </w:r>
      <w:r w:rsidRPr="00087CD5">
        <w:rPr>
          <w:rFonts w:ascii="Century Schoolbook" w:hAnsi="Century Schoolbook"/>
          <w:color w:val="000000" w:themeColor="text1"/>
          <w:szCs w:val="22"/>
        </w:rPr>
        <w:t xml:space="preserve">p. 113-135 </w:t>
      </w:r>
    </w:p>
    <w:p w14:paraId="79425FAD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Style w:val="Lienhypertexte"/>
          <w:rFonts w:ascii="Century Schoolbook" w:hAnsi="Century Schoolbook"/>
          <w:color w:val="auto"/>
          <w:szCs w:val="22"/>
          <w:u w:val="none"/>
        </w:rPr>
      </w:pPr>
      <w:r w:rsidRPr="00087CD5">
        <w:rPr>
          <w:rFonts w:ascii="Century Schoolbook" w:hAnsi="Century Schoolbook"/>
          <w:szCs w:val="22"/>
        </w:rPr>
        <w:t>« </w:t>
      </w:r>
      <w:r w:rsidRPr="00087CD5">
        <w:rPr>
          <w:rFonts w:ascii="Century Schoolbook" w:hAnsi="Century Schoolbook"/>
          <w:i/>
          <w:szCs w:val="22"/>
        </w:rPr>
        <w:t xml:space="preserve">Fides </w:t>
      </w:r>
      <w:proofErr w:type="spellStart"/>
      <w:r w:rsidRPr="00087CD5">
        <w:rPr>
          <w:rFonts w:ascii="Century Schoolbook" w:hAnsi="Century Schoolbook"/>
          <w:i/>
          <w:szCs w:val="22"/>
        </w:rPr>
        <w:t>sive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credulitas</w:t>
      </w:r>
      <w:proofErr w:type="spellEnd"/>
      <w:r w:rsidRPr="00087CD5">
        <w:rPr>
          <w:rFonts w:ascii="Century Schoolbook" w:hAnsi="Century Schoolbook"/>
          <w:szCs w:val="22"/>
        </w:rPr>
        <w:t xml:space="preserve">. Le problème de l’assentiment chez Pierre Abélard, entre logique et psychologie », </w:t>
      </w:r>
      <w:r w:rsidRPr="00087CD5">
        <w:rPr>
          <w:rFonts w:ascii="Century Schoolbook" w:hAnsi="Century Schoolbook"/>
          <w:i/>
          <w:szCs w:val="22"/>
        </w:rPr>
        <w:t>Archives d’histoire littéraire et doctrinale du moyen âge</w:t>
      </w:r>
      <w:r w:rsidRPr="00087CD5">
        <w:rPr>
          <w:rFonts w:ascii="Century Schoolbook" w:hAnsi="Century Schoolbook"/>
          <w:szCs w:val="22"/>
        </w:rPr>
        <w:t xml:space="preserve">, 70, (2003), p. 7-25 </w:t>
      </w:r>
    </w:p>
    <w:p w14:paraId="025D7659" w14:textId="77777777" w:rsidR="00C27822" w:rsidRPr="00087CD5" w:rsidRDefault="00C27822" w:rsidP="00C27822">
      <w:pPr>
        <w:pStyle w:val="Paragraphedeliste"/>
        <w:numPr>
          <w:ilvl w:val="0"/>
          <w:numId w:val="5"/>
        </w:numPr>
        <w:spacing w:line="240" w:lineRule="auto"/>
        <w:rPr>
          <w:rFonts w:ascii="Century Schoolbook" w:hAnsi="Century Schoolbook"/>
          <w:color w:val="000000" w:themeColor="text1"/>
        </w:rPr>
      </w:pPr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>« Le statut de la causalité chez Nicolas d’</w:t>
      </w:r>
      <w:proofErr w:type="spellStart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>Autrécourt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 », </w:t>
      </w:r>
      <w:proofErr w:type="spellStart"/>
      <w:r w:rsidRPr="00087CD5">
        <w:rPr>
          <w:rStyle w:val="Lienhypertexte"/>
          <w:rFonts w:ascii="Century Schoolbook" w:eastAsiaTheme="majorEastAsia" w:hAnsi="Century Schoolbook"/>
          <w:i/>
          <w:color w:val="000000" w:themeColor="text1"/>
          <w:szCs w:val="22"/>
          <w:u w:val="none"/>
        </w:rPr>
        <w:t>Quaestio</w:t>
      </w:r>
      <w:proofErr w:type="spellEnd"/>
      <w:r w:rsidRPr="00087CD5">
        <w:rPr>
          <w:rStyle w:val="Lienhypertexte"/>
          <w:rFonts w:ascii="Century Schoolbook" w:eastAsiaTheme="majorEastAsia" w:hAnsi="Century Schoolbook"/>
          <w:color w:val="000000" w:themeColor="text1"/>
          <w:szCs w:val="22"/>
          <w:u w:val="none"/>
        </w:rPr>
        <w:t xml:space="preserve">, 2 (2002), </w:t>
      </w:r>
      <w:r w:rsidRPr="00087CD5">
        <w:rPr>
          <w:rFonts w:ascii="Century Schoolbook" w:hAnsi="Century Schoolbook"/>
          <w:color w:val="000000" w:themeColor="text1"/>
        </w:rPr>
        <w:t xml:space="preserve">p. 267-289 </w:t>
      </w:r>
    </w:p>
    <w:p w14:paraId="5691E99B" w14:textId="77777777" w:rsidR="00C27822" w:rsidRPr="00087CD5" w:rsidRDefault="00C27822" w:rsidP="00C27822">
      <w:pPr>
        <w:spacing w:line="240" w:lineRule="auto"/>
        <w:rPr>
          <w:rFonts w:ascii="Century Schoolbook" w:eastAsia="MS Mincho" w:hAnsi="Century Schoolbook"/>
          <w:szCs w:val="22"/>
        </w:rPr>
      </w:pPr>
    </w:p>
    <w:p w14:paraId="36BBBEC5" w14:textId="77777777" w:rsidR="00C27822" w:rsidRPr="00755D98" w:rsidRDefault="00C27822" w:rsidP="00C27822">
      <w:p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="MS Mincho" w:hAnsi="Century Schoolbook"/>
          <w:szCs w:val="22"/>
          <w:u w:val="single"/>
        </w:rPr>
        <w:t xml:space="preserve">Chapitres de livres </w:t>
      </w:r>
    </w:p>
    <w:p w14:paraId="18E8FCA5" w14:textId="266354B7" w:rsidR="00C6413B" w:rsidRPr="00C6413B" w:rsidRDefault="00C6413B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« A quoi sert l’histoire de la philosophie médiévale ? », dans G.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Lepan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, P.-F. Moreau (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éds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.), 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A quoi sert l’histoire de la </w:t>
      </w:r>
      <w:proofErr w:type="gramStart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philosophie ?</w:t>
      </w: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,</w:t>
      </w:r>
      <w:proofErr w:type="gram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Paris, PUF, 2026, p. 33-47</w:t>
      </w:r>
    </w:p>
    <w:p w14:paraId="6FDDBA29" w14:textId="11C3A04A" w:rsidR="00C6413B" w:rsidRPr="00C6413B" w:rsidRDefault="00C6413B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« Penser la contingence, dire la contradiction : autour du ‘concours de Blois’ », dans V.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Fasseur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&amp; J.-R. Valette, 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Littérature et pensée scolastique (</w:t>
      </w:r>
      <w:proofErr w:type="spellStart"/>
      <w:r w:rsidRPr="00C6413B">
        <w:rPr>
          <w:rFonts w:ascii="Century Schoolbook" w:eastAsiaTheme="minorEastAsia" w:hAnsi="Century Schoolbook"/>
          <w:i/>
          <w:iCs/>
          <w:smallCaps/>
          <w:color w:val="000000" w:themeColor="text1"/>
          <w:szCs w:val="22"/>
        </w:rPr>
        <w:t>xiii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  <w:vertAlign w:val="superscript"/>
        </w:rPr>
        <w:t>e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– </w:t>
      </w:r>
      <w:proofErr w:type="spellStart"/>
      <w:r w:rsidRPr="00C6413B">
        <w:rPr>
          <w:rFonts w:ascii="Century Schoolbook" w:eastAsiaTheme="minorEastAsia" w:hAnsi="Century Schoolbook"/>
          <w:i/>
          <w:iCs/>
          <w:smallCaps/>
          <w:color w:val="000000" w:themeColor="text1"/>
          <w:szCs w:val="22"/>
        </w:rPr>
        <w:t>xv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  <w:vertAlign w:val="superscript"/>
        </w:rPr>
        <w:t>e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siècle)</w:t>
      </w: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, Paris, Beauchesne, 2026, p. 489-512</w:t>
      </w:r>
    </w:p>
    <w:p w14:paraId="09E3BDF0" w14:textId="124EB0B5" w:rsidR="00C6413B" w:rsidRPr="00C6413B" w:rsidRDefault="00C6413B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« 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Eine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Kirche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im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Wandel. Gerson-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Lektüren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am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Vorabend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der </w:t>
      </w:r>
      <w:proofErr w:type="gram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Reformation:</w:t>
      </w:r>
      <w:proofErr w:type="gram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der Fall von Jean Laillier », dans K. Engel &amp; U. Zahnd (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eds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.), </w:t>
      </w:r>
      <w:proofErr w:type="spellStart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Transforming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</w:t>
      </w:r>
      <w:proofErr w:type="spellStart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Philosophy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. Late </w:t>
      </w:r>
      <w:proofErr w:type="spellStart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Medieval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</w:t>
      </w:r>
      <w:proofErr w:type="spellStart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Knowledge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in Transition</w:t>
      </w: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, Basel, Schwabe, 2026, p. 179-194</w:t>
      </w:r>
    </w:p>
    <w:p w14:paraId="40435DEE" w14:textId="19771EC2" w:rsidR="00C6413B" w:rsidRPr="00C6413B" w:rsidRDefault="00C6413B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C6413B">
        <w:rPr>
          <w:rFonts w:ascii="Century Schoolbook" w:hAnsi="Century Schoolbook"/>
          <w:szCs w:val="22"/>
        </w:rPr>
        <w:t xml:space="preserve">« Intériorité et extériorité chez </w:t>
      </w:r>
      <w:proofErr w:type="spellStart"/>
      <w:r w:rsidRPr="00C6413B">
        <w:rPr>
          <w:rFonts w:ascii="Century Schoolbook" w:hAnsi="Century Schoolbook"/>
          <w:szCs w:val="22"/>
        </w:rPr>
        <w:t>Holcot</w:t>
      </w:r>
      <w:proofErr w:type="spellEnd"/>
      <w:r w:rsidRPr="00C6413B">
        <w:rPr>
          <w:rFonts w:ascii="Century Schoolbook" w:hAnsi="Century Schoolbook"/>
          <w:szCs w:val="22"/>
        </w:rPr>
        <w:t>. Renaissance des morales de l’intention », dans P. Bermon &amp; C. Grellard (</w:t>
      </w:r>
      <w:proofErr w:type="spellStart"/>
      <w:r w:rsidRPr="00C6413B">
        <w:rPr>
          <w:rFonts w:ascii="Century Schoolbook" w:hAnsi="Century Schoolbook"/>
          <w:szCs w:val="22"/>
        </w:rPr>
        <w:t>éds</w:t>
      </w:r>
      <w:proofErr w:type="spellEnd"/>
      <w:r w:rsidRPr="00C6413B">
        <w:rPr>
          <w:rFonts w:ascii="Century Schoolbook" w:hAnsi="Century Schoolbook"/>
          <w:szCs w:val="22"/>
        </w:rPr>
        <w:t xml:space="preserve">.), </w:t>
      </w:r>
      <w:proofErr w:type="spellStart"/>
      <w:r w:rsidRPr="00C6413B">
        <w:rPr>
          <w:rFonts w:ascii="Century Schoolbook" w:hAnsi="Century Schoolbook"/>
          <w:szCs w:val="22"/>
        </w:rPr>
        <w:t>Theologia</w:t>
      </w:r>
      <w:proofErr w:type="spellEnd"/>
      <w:r w:rsidRPr="00C6413B">
        <w:rPr>
          <w:rFonts w:ascii="Century Schoolbook" w:hAnsi="Century Schoolbook"/>
          <w:szCs w:val="22"/>
        </w:rPr>
        <w:t xml:space="preserve"> </w:t>
      </w:r>
      <w:proofErr w:type="spellStart"/>
      <w:r w:rsidRPr="00C6413B">
        <w:rPr>
          <w:rFonts w:ascii="Century Schoolbook" w:hAnsi="Century Schoolbook"/>
          <w:szCs w:val="22"/>
        </w:rPr>
        <w:t>modernorum</w:t>
      </w:r>
      <w:proofErr w:type="spellEnd"/>
      <w:r w:rsidRPr="00C6413B">
        <w:rPr>
          <w:rFonts w:ascii="Century Schoolbook" w:hAnsi="Century Schoolbook"/>
          <w:szCs w:val="22"/>
        </w:rPr>
        <w:t xml:space="preserve">. </w:t>
      </w:r>
      <w:proofErr w:type="spellStart"/>
      <w:r w:rsidRPr="00C6413B">
        <w:rPr>
          <w:rFonts w:ascii="Century Schoolbook" w:hAnsi="Century Schoolbook"/>
          <w:i/>
          <w:iCs/>
          <w:szCs w:val="22"/>
        </w:rPr>
        <w:t>Research</w:t>
      </w:r>
      <w:proofErr w:type="spellEnd"/>
      <w:r w:rsidRPr="00C6413B">
        <w:rPr>
          <w:rFonts w:ascii="Century Schoolbook" w:hAnsi="Century Schoolbook"/>
          <w:i/>
          <w:iCs/>
          <w:szCs w:val="22"/>
        </w:rPr>
        <w:t xml:space="preserve"> on Robert </w:t>
      </w:r>
      <w:proofErr w:type="spellStart"/>
      <w:r w:rsidRPr="00C6413B">
        <w:rPr>
          <w:rFonts w:ascii="Century Schoolbook" w:hAnsi="Century Schoolbook"/>
          <w:i/>
          <w:iCs/>
          <w:szCs w:val="22"/>
        </w:rPr>
        <w:t>Holcot’s</w:t>
      </w:r>
      <w:proofErr w:type="spellEnd"/>
      <w:r w:rsidRPr="00C6413B">
        <w:rPr>
          <w:rFonts w:ascii="Century Schoolbook" w:hAnsi="Century Schoolbook"/>
          <w:i/>
          <w:iCs/>
          <w:szCs w:val="22"/>
        </w:rPr>
        <w:t xml:space="preserve"> </w:t>
      </w:r>
      <w:proofErr w:type="spellStart"/>
      <w:r w:rsidRPr="00C6413B">
        <w:rPr>
          <w:rFonts w:ascii="Century Schoolbook" w:hAnsi="Century Schoolbook"/>
          <w:i/>
          <w:iCs/>
          <w:szCs w:val="22"/>
        </w:rPr>
        <w:t>Theological</w:t>
      </w:r>
      <w:proofErr w:type="spellEnd"/>
      <w:r w:rsidRPr="00C6413B">
        <w:rPr>
          <w:rFonts w:ascii="Century Schoolbook" w:hAnsi="Century Schoolbook"/>
          <w:i/>
          <w:iCs/>
          <w:szCs w:val="22"/>
        </w:rPr>
        <w:t xml:space="preserve"> Questions</w:t>
      </w:r>
      <w:r w:rsidRPr="00C6413B">
        <w:rPr>
          <w:rFonts w:ascii="Century Schoolbook" w:hAnsi="Century Schoolbook"/>
          <w:szCs w:val="22"/>
        </w:rPr>
        <w:t xml:space="preserve">, Turnhout, </w:t>
      </w:r>
      <w:proofErr w:type="spellStart"/>
      <w:r w:rsidRPr="00C6413B">
        <w:rPr>
          <w:rFonts w:ascii="Century Schoolbook" w:hAnsi="Century Schoolbook"/>
          <w:szCs w:val="22"/>
        </w:rPr>
        <w:t>Brepols</w:t>
      </w:r>
      <w:proofErr w:type="spellEnd"/>
      <w:r w:rsidRPr="00C6413B">
        <w:rPr>
          <w:rFonts w:ascii="Century Schoolbook" w:hAnsi="Century Schoolbook"/>
          <w:szCs w:val="22"/>
        </w:rPr>
        <w:t>, 2025, p. 73-94</w:t>
      </w:r>
    </w:p>
    <w:p w14:paraId="096DA649" w14:textId="4034AFA7" w:rsidR="00C6413B" w:rsidRPr="00C6413B" w:rsidRDefault="00C6413B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C6413B">
        <w:rPr>
          <w:rFonts w:ascii="Century Schoolbook" w:hAnsi="Century Schoolbook"/>
          <w:szCs w:val="22"/>
        </w:rPr>
        <w:t>« </w:t>
      </w:r>
      <w:r w:rsidRPr="00C6413B">
        <w:rPr>
          <w:rFonts w:ascii="Century Schoolbook" w:hAnsi="Century Schoolbook"/>
          <w:i/>
          <w:iCs/>
          <w:szCs w:val="22"/>
        </w:rPr>
        <w:t xml:space="preserve">Ut </w:t>
      </w:r>
      <w:proofErr w:type="spellStart"/>
      <w:r w:rsidRPr="00C6413B">
        <w:rPr>
          <w:rFonts w:ascii="Century Schoolbook" w:hAnsi="Century Schoolbook"/>
          <w:i/>
          <w:iCs/>
          <w:szCs w:val="22"/>
        </w:rPr>
        <w:t>dormientes</w:t>
      </w:r>
      <w:proofErr w:type="spellEnd"/>
      <w:r w:rsidRPr="00C6413B">
        <w:rPr>
          <w:rFonts w:ascii="Century Schoolbook" w:hAnsi="Century Schoolbook"/>
          <w:i/>
          <w:iCs/>
          <w:szCs w:val="22"/>
        </w:rPr>
        <w:t xml:space="preserve"> a somno </w:t>
      </w:r>
      <w:proofErr w:type="spellStart"/>
      <w:r w:rsidRPr="00C6413B">
        <w:rPr>
          <w:rFonts w:ascii="Century Schoolbook" w:hAnsi="Century Schoolbook"/>
          <w:i/>
          <w:iCs/>
          <w:szCs w:val="22"/>
        </w:rPr>
        <w:t>excitaret</w:t>
      </w:r>
      <w:proofErr w:type="spellEnd"/>
      <w:r w:rsidRPr="00C6413B">
        <w:rPr>
          <w:rFonts w:ascii="Century Schoolbook" w:hAnsi="Century Schoolbook"/>
          <w:szCs w:val="22"/>
        </w:rPr>
        <w:t>. Retour sur la condamnation de Nicolas d’</w:t>
      </w:r>
      <w:proofErr w:type="spellStart"/>
      <w:r w:rsidRPr="00C6413B">
        <w:rPr>
          <w:rFonts w:ascii="Century Schoolbook" w:hAnsi="Century Schoolbook"/>
          <w:szCs w:val="22"/>
        </w:rPr>
        <w:t>Autrécourt</w:t>
      </w:r>
      <w:proofErr w:type="spellEnd"/>
      <w:r w:rsidRPr="00C6413B">
        <w:rPr>
          <w:rFonts w:ascii="Century Schoolbook" w:hAnsi="Century Schoolbook"/>
          <w:szCs w:val="22"/>
        </w:rPr>
        <w:t> », dans M. Brinzei, I. Caiazzo, C. Grellard &amp; A. Robert (</w:t>
      </w:r>
      <w:proofErr w:type="spellStart"/>
      <w:r w:rsidRPr="00C6413B">
        <w:rPr>
          <w:rFonts w:ascii="Century Schoolbook" w:hAnsi="Century Schoolbook"/>
          <w:szCs w:val="22"/>
        </w:rPr>
        <w:t>éds</w:t>
      </w:r>
      <w:proofErr w:type="spellEnd"/>
      <w:r w:rsidRPr="00C6413B">
        <w:rPr>
          <w:rFonts w:ascii="Century Schoolbook" w:hAnsi="Century Schoolbook"/>
          <w:szCs w:val="22"/>
        </w:rPr>
        <w:t xml:space="preserve">.), </w:t>
      </w:r>
      <w:r w:rsidRPr="00C6413B">
        <w:rPr>
          <w:rFonts w:ascii="Century Schoolbook" w:hAnsi="Century Schoolbook"/>
          <w:i/>
          <w:iCs/>
          <w:szCs w:val="22"/>
        </w:rPr>
        <w:t xml:space="preserve">Radical </w:t>
      </w:r>
      <w:proofErr w:type="spellStart"/>
      <w:r w:rsidRPr="00C6413B">
        <w:rPr>
          <w:rFonts w:ascii="Century Schoolbook" w:hAnsi="Century Schoolbook"/>
          <w:i/>
          <w:iCs/>
          <w:szCs w:val="22"/>
        </w:rPr>
        <w:t>Thinking</w:t>
      </w:r>
      <w:proofErr w:type="spellEnd"/>
      <w:r w:rsidRPr="00C6413B">
        <w:rPr>
          <w:rFonts w:ascii="Century Schoolbook" w:hAnsi="Century Schoolbook"/>
          <w:i/>
          <w:iCs/>
          <w:szCs w:val="22"/>
        </w:rPr>
        <w:t xml:space="preserve"> in the Middle Ages. Acts of the xv International Congress of the SIEPL, Paris, 22-26 August 2022</w:t>
      </w:r>
      <w:r w:rsidRPr="00C6413B">
        <w:rPr>
          <w:rFonts w:ascii="Century Schoolbook" w:hAnsi="Century Schoolbook"/>
          <w:szCs w:val="22"/>
        </w:rPr>
        <w:t xml:space="preserve">, </w:t>
      </w:r>
      <w:proofErr w:type="spellStart"/>
      <w:r w:rsidRPr="00C6413B">
        <w:rPr>
          <w:rFonts w:ascii="Century Schoolbook" w:hAnsi="Century Schoolbook"/>
          <w:szCs w:val="22"/>
        </w:rPr>
        <w:t>Turnout</w:t>
      </w:r>
      <w:proofErr w:type="spellEnd"/>
      <w:r w:rsidRPr="00C6413B">
        <w:rPr>
          <w:rFonts w:ascii="Century Schoolbook" w:hAnsi="Century Schoolbook"/>
          <w:szCs w:val="22"/>
        </w:rPr>
        <w:t xml:space="preserve">, </w:t>
      </w:r>
      <w:proofErr w:type="spellStart"/>
      <w:r w:rsidRPr="00C6413B">
        <w:rPr>
          <w:rFonts w:ascii="Century Schoolbook" w:hAnsi="Century Schoolbook"/>
          <w:szCs w:val="22"/>
        </w:rPr>
        <w:t>Brepols</w:t>
      </w:r>
      <w:proofErr w:type="spellEnd"/>
      <w:r w:rsidRPr="00C6413B">
        <w:rPr>
          <w:rFonts w:ascii="Century Schoolbook" w:hAnsi="Century Schoolbook"/>
          <w:szCs w:val="22"/>
        </w:rPr>
        <w:t>, 2025, vol. 2, p. 819-838</w:t>
      </w:r>
    </w:p>
    <w:p w14:paraId="5B9265C7" w14:textId="1374F87E" w:rsidR="00C27822" w:rsidRPr="00C6413B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« La place de Jean Gerson dans le </w:t>
      </w:r>
      <w:proofErr w:type="spellStart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Consolatorium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</w:t>
      </w:r>
      <w:proofErr w:type="spellStart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timoratae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</w:t>
      </w:r>
      <w:proofErr w:type="spellStart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conscientiae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 de Jean Nider », dans I. Iribarren (éd.), 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Gerson rhénan. Itinéraires culturels et circulation des textes dans l’Europe rhénane. </w:t>
      </w:r>
      <w:proofErr w:type="spellStart"/>
      <w:r w:rsidRPr="00C6413B">
        <w:rPr>
          <w:rFonts w:ascii="Century Schoolbook" w:eastAsiaTheme="minorEastAsia" w:hAnsi="Century Schoolbook"/>
          <w:i/>
          <w:iCs/>
          <w:smallCaps/>
          <w:color w:val="000000" w:themeColor="text1"/>
          <w:szCs w:val="22"/>
        </w:rPr>
        <w:t>xv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  <w:vertAlign w:val="superscript"/>
        </w:rPr>
        <w:t>e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– </w:t>
      </w:r>
      <w:proofErr w:type="spellStart"/>
      <w:r w:rsidRPr="00C6413B">
        <w:rPr>
          <w:rFonts w:ascii="Century Schoolbook" w:eastAsiaTheme="minorEastAsia" w:hAnsi="Century Schoolbook"/>
          <w:i/>
          <w:iCs/>
          <w:smallCaps/>
          <w:color w:val="000000" w:themeColor="text1"/>
          <w:szCs w:val="22"/>
        </w:rPr>
        <w:t>xvi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  <w:vertAlign w:val="superscript"/>
        </w:rPr>
        <w:t>e</w:t>
      </w:r>
      <w:proofErr w:type="spellEnd"/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 siècles</w:t>
      </w: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,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Brepols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, Turnhout, 2024, p. 435-460</w:t>
      </w:r>
    </w:p>
    <w:p w14:paraId="1A5777CF" w14:textId="77777777" w:rsidR="00C27822" w:rsidRPr="00C6413B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« Des petits dieux sont-ils possibles en régime chrétien ? Considérations à partir du christianisme médiéval », dans, J.-P. Albert, A. Kedzierska Manzon (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éds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.), 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 xml:space="preserve">Entre 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lastRenderedPageBreak/>
        <w:t>évitement et alliance. Formes mineures du divin</w:t>
      </w: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, Turnhout,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Brepols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, 2024, p. 135-152</w:t>
      </w:r>
    </w:p>
    <w:p w14:paraId="289C04FC" w14:textId="77777777" w:rsidR="00C27822" w:rsidRPr="00C6413B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« Un théologien peut-il avoir des opinions ? Jean Mair et l’automne de la théologie scientifique », dans O.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Boulnois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, S. De Franceschi, Ph. Hoffmann (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éds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.), 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Connaître Dieu. Métamorphoses de la théologie comme science dans les religions monothéistes</w:t>
      </w:r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 xml:space="preserve">, Turnhout, </w:t>
      </w:r>
      <w:proofErr w:type="spellStart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Brepols</w:t>
      </w:r>
      <w:proofErr w:type="spellEnd"/>
      <w:r w:rsidRPr="00C6413B">
        <w:rPr>
          <w:rFonts w:ascii="Century Schoolbook" w:eastAsiaTheme="minorEastAsia" w:hAnsi="Century Schoolbook"/>
          <w:color w:val="000000" w:themeColor="text1"/>
          <w:szCs w:val="22"/>
        </w:rPr>
        <w:t>, 2024, p. 405-427</w:t>
      </w:r>
    </w:p>
    <w:p w14:paraId="047807A6" w14:textId="77777777" w:rsidR="00C27822" w:rsidRPr="00755D98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C6413B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« Parisian Commentaries on </w:t>
      </w:r>
      <w:r w:rsidRPr="00C6413B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De sensu</w:t>
      </w:r>
      <w:r w:rsidRPr="00755D98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 in Late Fifteenth and Early Sixteenth Centuries », dans, </w:t>
      </w:r>
      <w:r w:rsidRPr="00755D98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 xml:space="preserve">Aristotle’s De sensu in the Latin Tradition, 1250-1650. </w:t>
      </w:r>
      <w:proofErr w:type="spellStart"/>
      <w:r w:rsidRPr="00755D98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Micrologus</w:t>
      </w:r>
      <w:proofErr w:type="spellEnd"/>
      <w:r w:rsidRPr="00755D98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, 31 (2023), p. 271-294</w:t>
      </w:r>
    </w:p>
    <w:p w14:paraId="0BCA2574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« Faith and Will in Francisco de Vitoria », dans S. Schierbaum &amp; J. Müller (</w:t>
      </w:r>
      <w:proofErr w:type="spellStart"/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éd</w:t>
      </w:r>
      <w:proofErr w:type="spellEnd"/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.), </w:t>
      </w:r>
      <w:r w:rsidRPr="001F23B3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Varieties of Voluntarism in Medieval and Early Modern Philosophy</w:t>
      </w:r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, New York – Londres, Routledge,</w:t>
      </w:r>
      <w:r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 2023,</w:t>
      </w:r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 p. 105-122</w:t>
      </w:r>
    </w:p>
    <w:p w14:paraId="650B84D1" w14:textId="77777777" w:rsidR="00C27822" w:rsidRPr="00087CD5" w:rsidRDefault="00C27822" w:rsidP="00C27822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Century Schoolbook" w:eastAsiaTheme="minorEastAsia" w:hAnsi="Century Schoolbook"/>
          <w:szCs w:val="22"/>
        </w:rPr>
      </w:pPr>
      <w:r w:rsidRPr="00087CD5">
        <w:rPr>
          <w:rFonts w:ascii="Century Schoolbook" w:eastAsiaTheme="minorEastAsia" w:hAnsi="Century Schoolbook"/>
          <w:szCs w:val="22"/>
        </w:rPr>
        <w:t xml:space="preserve">« Jean Gerson et la </w:t>
      </w:r>
      <w:r w:rsidRPr="00087CD5">
        <w:rPr>
          <w:rFonts w:ascii="Century Schoolbook" w:eastAsiaTheme="minorEastAsia" w:hAnsi="Century Schoolbook"/>
          <w:i/>
          <w:iCs/>
          <w:szCs w:val="22"/>
        </w:rPr>
        <w:t>recta ratio</w:t>
      </w:r>
      <w:r w:rsidRPr="00087CD5">
        <w:rPr>
          <w:rFonts w:ascii="Century Schoolbook" w:eastAsiaTheme="minorEastAsia" w:hAnsi="Century Schoolbook"/>
          <w:szCs w:val="22"/>
        </w:rPr>
        <w:t xml:space="preserve"> », dans </w:t>
      </w:r>
      <w:r w:rsidRPr="00087CD5">
        <w:rPr>
          <w:rFonts w:ascii="Century Schoolbook" w:eastAsiaTheme="minorEastAsia" w:hAnsi="Century Schoolbook"/>
          <w:i/>
          <w:iCs/>
          <w:szCs w:val="22"/>
        </w:rPr>
        <w:t>La raison au Moyen Âge</w:t>
      </w:r>
      <w:r w:rsidRPr="00087CD5">
        <w:rPr>
          <w:rFonts w:ascii="Century Schoolbook" w:eastAsiaTheme="minorEastAsia" w:hAnsi="Century Schoolbook"/>
          <w:szCs w:val="22"/>
        </w:rPr>
        <w:t xml:space="preserve">, éd. D. </w:t>
      </w:r>
      <w:proofErr w:type="spellStart"/>
      <w:r w:rsidRPr="00087CD5">
        <w:rPr>
          <w:rFonts w:ascii="Century Schoolbook" w:eastAsiaTheme="minorEastAsia" w:hAnsi="Century Schoolbook"/>
          <w:szCs w:val="22"/>
        </w:rPr>
        <w:t>Poirel</w:t>
      </w:r>
      <w:proofErr w:type="spellEnd"/>
      <w:r w:rsidRPr="00087CD5">
        <w:rPr>
          <w:rFonts w:ascii="Century Schoolbook" w:eastAsiaTheme="minorEastAsia" w:hAnsi="Century Schoolbook"/>
          <w:szCs w:val="22"/>
        </w:rPr>
        <w:t>, Paris, Vrin, 2023, p. 132-152</w:t>
      </w:r>
    </w:p>
    <w:p w14:paraId="05F3302E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szCs w:val="22"/>
        </w:rPr>
        <w:t xml:space="preserve">« Les fonctions sacramentelles du sermon chez Jean Gerson. Purger, illuminer, perfectionner », dans </w:t>
      </w:r>
      <w:r w:rsidRPr="00087CD5">
        <w:rPr>
          <w:rFonts w:ascii="Century Schoolbook" w:eastAsiaTheme="minorEastAsia" w:hAnsi="Century Schoolbook"/>
          <w:i/>
          <w:iCs/>
          <w:szCs w:val="22"/>
        </w:rPr>
        <w:t>Prédication et sacrements</w:t>
      </w:r>
      <w:r w:rsidRPr="00087CD5">
        <w:rPr>
          <w:rFonts w:ascii="Century Schoolbook" w:eastAsiaTheme="minorEastAsia" w:hAnsi="Century Schoolbook"/>
          <w:szCs w:val="22"/>
        </w:rPr>
        <w:t xml:space="preserve">, études réunies par Pierre Molinié et Marie Pauliat, Paris, </w:t>
      </w:r>
      <w:proofErr w:type="spellStart"/>
      <w:r w:rsidRPr="00087CD5">
        <w:rPr>
          <w:rFonts w:ascii="Century Schoolbook" w:eastAsiaTheme="minorEastAsia" w:hAnsi="Century Schoolbook"/>
          <w:szCs w:val="22"/>
        </w:rPr>
        <w:t>Beauschene</w:t>
      </w:r>
      <w:proofErr w:type="spellEnd"/>
      <w:r w:rsidRPr="00087CD5">
        <w:rPr>
          <w:rFonts w:ascii="Century Schoolbook" w:eastAsiaTheme="minorEastAsia" w:hAnsi="Century Schoolbook"/>
          <w:szCs w:val="22"/>
        </w:rPr>
        <w:t>, 2023, p. 297-322</w:t>
      </w:r>
    </w:p>
    <w:p w14:paraId="5D8BF78D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szCs w:val="22"/>
        </w:rPr>
        <w:t xml:space="preserve">« Dieu d’Abraham, Dieu du philosophe. Le statut de la religion dans les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Collationes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 d’Abélard », dans O. </w:t>
      </w:r>
      <w:proofErr w:type="spellStart"/>
      <w:r w:rsidRPr="00087CD5">
        <w:rPr>
          <w:rFonts w:ascii="Century Schoolbook" w:eastAsiaTheme="minorEastAsia" w:hAnsi="Century Schoolbook"/>
          <w:szCs w:val="22"/>
        </w:rPr>
        <w:t>Boulnois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 (</w:t>
      </w:r>
      <w:proofErr w:type="spellStart"/>
      <w:r w:rsidRPr="00087CD5">
        <w:rPr>
          <w:rFonts w:ascii="Century Schoolbook" w:eastAsiaTheme="minorEastAsia" w:hAnsi="Century Schoolbook"/>
          <w:szCs w:val="22"/>
        </w:rPr>
        <w:t>dir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.), </w:t>
      </w:r>
      <w:r w:rsidRPr="00087CD5">
        <w:rPr>
          <w:rFonts w:ascii="Century Schoolbook" w:eastAsiaTheme="minorEastAsia" w:hAnsi="Century Schoolbook"/>
          <w:i/>
          <w:iCs/>
          <w:szCs w:val="22"/>
        </w:rPr>
        <w:t>Dieu d'Abraham, dieu des philosophes. Révélation et rationalité</w:t>
      </w:r>
      <w:r w:rsidRPr="00087CD5">
        <w:rPr>
          <w:rFonts w:ascii="Century Schoolbook" w:eastAsiaTheme="minorEastAsia" w:hAnsi="Century Schoolbook"/>
          <w:szCs w:val="22"/>
        </w:rPr>
        <w:t>, Paris, Vrin, 2023, p. 113-134</w:t>
      </w:r>
    </w:p>
    <w:p w14:paraId="5DA4C7D1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« Le rôle des normes positives dans l’éthique de Pierre Abélard », dans D. </w:t>
      </w:r>
      <w:proofErr w:type="spellStart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Poirel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 (éd.), </w:t>
      </w:r>
      <w:r w:rsidRPr="00087CD5">
        <w:rPr>
          <w:rFonts w:ascii="Century Schoolbook" w:eastAsiaTheme="minorEastAsia" w:hAnsi="Century Schoolbook"/>
          <w:i/>
          <w:iCs/>
          <w:color w:val="000000" w:themeColor="text1"/>
          <w:szCs w:val="22"/>
        </w:rPr>
        <w:t>Pierre Abélard, Génie multiforme</w:t>
      </w: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, </w:t>
      </w:r>
      <w:proofErr w:type="spellStart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Brepols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, Turnhout, 2022, p. 121-136.</w:t>
      </w:r>
    </w:p>
    <w:p w14:paraId="159296D6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« Theology », dans Harald Braun, Erik De Bom and Paolo Astorri (eds.), </w:t>
      </w:r>
      <w:r w:rsidRPr="001F23B3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A Companion to Spanish Scholastics</w:t>
      </w:r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, Leiden, Brill, 2022, p. 31-52</w:t>
      </w:r>
    </w:p>
    <w:p w14:paraId="33B15786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« John Wyclif on Implicit Faith », dans </w:t>
      </w:r>
      <w:proofErr w:type="spellStart"/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Kantik</w:t>
      </w:r>
      <w:proofErr w:type="spellEnd"/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 Ghosh and Pavel Soukup (eds.), </w:t>
      </w:r>
      <w:proofErr w:type="spellStart"/>
      <w:r w:rsidRPr="001F23B3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Wycliffism</w:t>
      </w:r>
      <w:proofErr w:type="spellEnd"/>
      <w:r w:rsidRPr="001F23B3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 xml:space="preserve"> and </w:t>
      </w:r>
      <w:proofErr w:type="spellStart"/>
      <w:proofErr w:type="gramStart"/>
      <w:r w:rsidRPr="001F23B3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Hussitism</w:t>
      </w:r>
      <w:proofErr w:type="spellEnd"/>
      <w:r w:rsidRPr="001F23B3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> :</w:t>
      </w:r>
      <w:proofErr w:type="gramEnd"/>
      <w:r w:rsidRPr="001F23B3">
        <w:rPr>
          <w:rFonts w:ascii="Century Schoolbook" w:eastAsiaTheme="minorEastAsia" w:hAnsi="Century Schoolbook"/>
          <w:i/>
          <w:iCs/>
          <w:color w:val="000000" w:themeColor="text1"/>
          <w:szCs w:val="22"/>
          <w:lang w:val="en-US"/>
        </w:rPr>
        <w:t xml:space="preserve"> Methods of Thinking, Writing and Persuasion c. 1360 – c. 1460</w:t>
      </w:r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 xml:space="preserve">, Turnhout, </w:t>
      </w:r>
      <w:proofErr w:type="spellStart"/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Brepols</w:t>
      </w:r>
      <w:proofErr w:type="spellEnd"/>
      <w:r w:rsidRPr="001F23B3">
        <w:rPr>
          <w:rFonts w:ascii="Century Schoolbook" w:eastAsiaTheme="minorEastAsia" w:hAnsi="Century Schoolbook"/>
          <w:color w:val="000000" w:themeColor="text1"/>
          <w:szCs w:val="22"/>
          <w:lang w:val="en-US"/>
        </w:rPr>
        <w:t>, 2021, p. 75-97</w:t>
      </w:r>
    </w:p>
    <w:p w14:paraId="357789F8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087CD5">
        <w:rPr>
          <w:rFonts w:ascii="Century Schoolbook" w:eastAsiaTheme="minorEastAsia" w:hAnsi="Century Schoolbook"/>
          <w:szCs w:val="22"/>
        </w:rPr>
        <w:t xml:space="preserve">« La place des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Quaestiones</w:t>
      </w:r>
      <w:proofErr w:type="spellEnd"/>
      <w:r w:rsidRPr="00087CD5">
        <w:rPr>
          <w:rFonts w:ascii="Century Schoolbook" w:eastAsiaTheme="minorEastAsia" w:hAnsi="Century Schoolbook"/>
          <w:i/>
          <w:iCs/>
          <w:szCs w:val="22"/>
        </w:rPr>
        <w:t xml:space="preserve"> circa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librum</w:t>
      </w:r>
      <w:proofErr w:type="spellEnd"/>
      <w:r w:rsidRPr="00087CD5">
        <w:rPr>
          <w:rFonts w:ascii="Century Schoolbook" w:eastAsiaTheme="minorEastAsia" w:hAnsi="Century Schoolbook"/>
          <w:i/>
          <w:iCs/>
          <w:szCs w:val="22"/>
        </w:rPr>
        <w:t xml:space="preserve"> de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physionomia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 dans le système philosophique de Jean Buridan » (avec Joël Biard), dans L. Devriese (éd.), </w:t>
      </w:r>
      <w:r w:rsidRPr="00087CD5">
        <w:rPr>
          <w:rFonts w:ascii="Century Schoolbook" w:eastAsiaTheme="minorEastAsia" w:hAnsi="Century Schoolbook"/>
          <w:i/>
          <w:iCs/>
          <w:szCs w:val="22"/>
        </w:rPr>
        <w:t xml:space="preserve">The Body as </w:t>
      </w:r>
      <w:proofErr w:type="gramStart"/>
      <w:r w:rsidRPr="00087CD5">
        <w:rPr>
          <w:rFonts w:ascii="Century Schoolbook" w:eastAsiaTheme="minorEastAsia" w:hAnsi="Century Schoolbook"/>
          <w:i/>
          <w:iCs/>
          <w:szCs w:val="22"/>
        </w:rPr>
        <w:t>a</w:t>
      </w:r>
      <w:proofErr w:type="gramEnd"/>
      <w:r w:rsidRPr="00087CD5">
        <w:rPr>
          <w:rFonts w:ascii="Century Schoolbook" w:eastAsiaTheme="minorEastAsia" w:hAnsi="Century Schoolbook"/>
          <w:i/>
          <w:iCs/>
          <w:szCs w:val="22"/>
        </w:rPr>
        <w:t xml:space="preserve"> Mirror of the Soul. </w:t>
      </w:r>
      <w:r w:rsidRPr="001F23B3">
        <w:rPr>
          <w:rFonts w:ascii="Century Schoolbook" w:eastAsiaTheme="minorEastAsia" w:hAnsi="Century Schoolbook"/>
          <w:i/>
          <w:iCs/>
          <w:szCs w:val="22"/>
          <w:lang w:val="en-US"/>
        </w:rPr>
        <w:t>Physiognomy from Antiquity to the Renaissance</w:t>
      </w:r>
      <w:r w:rsidRPr="001F23B3">
        <w:rPr>
          <w:rFonts w:ascii="Century Schoolbook" w:eastAsiaTheme="minorEastAsia" w:hAnsi="Century Schoolbook"/>
          <w:szCs w:val="22"/>
          <w:lang w:val="en-US"/>
        </w:rPr>
        <w:t>, Leuven, Leuven University Presse, 2021, p. 138-160</w:t>
      </w:r>
    </w:p>
    <w:p w14:paraId="45F4C436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szCs w:val="22"/>
        </w:rPr>
        <w:t>« De la théologie au droit, et retour : la question du scandale chez Pierre Abélard », dans E. Chevreau, G. Davy, O. Descamps, F. Lachaud (</w:t>
      </w:r>
      <w:proofErr w:type="spellStart"/>
      <w:r w:rsidRPr="00087CD5">
        <w:rPr>
          <w:rFonts w:ascii="Century Schoolbook" w:eastAsiaTheme="minorEastAsia" w:hAnsi="Century Schoolbook"/>
          <w:szCs w:val="22"/>
        </w:rPr>
        <w:t>dir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.), </w:t>
      </w:r>
      <w:r w:rsidRPr="00087CD5">
        <w:rPr>
          <w:rFonts w:ascii="Century Schoolbook" w:eastAsiaTheme="minorEastAsia" w:hAnsi="Century Schoolbook"/>
          <w:i/>
          <w:iCs/>
          <w:szCs w:val="22"/>
        </w:rPr>
        <w:t xml:space="preserve">Droit, pouvoir et société au Moyen Âge. Mélanges en l’honneur d’Yves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Sassier</w:t>
      </w:r>
      <w:proofErr w:type="spellEnd"/>
      <w:r w:rsidRPr="00087CD5">
        <w:rPr>
          <w:rFonts w:ascii="Century Schoolbook" w:eastAsiaTheme="minorEastAsia" w:hAnsi="Century Schoolbook"/>
          <w:i/>
          <w:iCs/>
          <w:szCs w:val="22"/>
        </w:rPr>
        <w:t xml:space="preserve">. Liber </w:t>
      </w:r>
      <w:proofErr w:type="spellStart"/>
      <w:r w:rsidRPr="00087CD5">
        <w:rPr>
          <w:rFonts w:ascii="Century Schoolbook" w:eastAsiaTheme="minorEastAsia" w:hAnsi="Century Schoolbook"/>
          <w:i/>
          <w:iCs/>
          <w:szCs w:val="22"/>
        </w:rPr>
        <w:t>amicorum</w:t>
      </w:r>
      <w:proofErr w:type="spellEnd"/>
      <w:r w:rsidRPr="00087CD5">
        <w:rPr>
          <w:rFonts w:ascii="Century Schoolbook" w:eastAsiaTheme="minorEastAsia" w:hAnsi="Century Schoolbook"/>
          <w:szCs w:val="22"/>
        </w:rPr>
        <w:t xml:space="preserve">, Limoges, </w:t>
      </w:r>
      <w:proofErr w:type="spellStart"/>
      <w:proofErr w:type="gramStart"/>
      <w:r w:rsidRPr="00087CD5">
        <w:rPr>
          <w:rFonts w:ascii="Century Schoolbook" w:eastAsiaTheme="minorEastAsia" w:hAnsi="Century Schoolbook"/>
          <w:szCs w:val="22"/>
        </w:rPr>
        <w:t>Pulim</w:t>
      </w:r>
      <w:proofErr w:type="spellEnd"/>
      <w:r w:rsidRPr="00087CD5">
        <w:rPr>
          <w:rFonts w:ascii="Century Schoolbook" w:eastAsiaTheme="minorEastAsia" w:hAnsi="Century Schoolbook"/>
          <w:szCs w:val="22"/>
        </w:rPr>
        <w:t>,  2021</w:t>
      </w:r>
      <w:proofErr w:type="gramEnd"/>
      <w:r w:rsidRPr="00087CD5">
        <w:rPr>
          <w:rFonts w:ascii="Century Schoolbook" w:eastAsiaTheme="minorEastAsia" w:hAnsi="Century Schoolbook"/>
          <w:szCs w:val="22"/>
        </w:rPr>
        <w:t>, p. 233-248</w:t>
      </w:r>
    </w:p>
    <w:p w14:paraId="5A1832A4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1F23B3">
        <w:rPr>
          <w:rFonts w:ascii="Century Schoolbook" w:hAnsi="Century Schoolbook"/>
          <w:szCs w:val="22"/>
          <w:lang w:val="en-US"/>
        </w:rPr>
        <w:t xml:space="preserve">« Attention, Recognition, and Error in Nicole Oresme’s Psychology », in D.  Bennett &amp; J. Toivanen (eds) </w:t>
      </w:r>
      <w:r w:rsidRPr="001F23B3">
        <w:rPr>
          <w:rFonts w:ascii="Century Schoolbook" w:hAnsi="Century Schoolbook"/>
          <w:i/>
          <w:szCs w:val="22"/>
          <w:lang w:val="en-US"/>
        </w:rPr>
        <w:t>Philosophical Problems in Sense Perception: Testing the Limits of Aristotelianism</w:t>
      </w:r>
      <w:r w:rsidRPr="001F23B3">
        <w:rPr>
          <w:rFonts w:ascii="Century Schoolbook" w:hAnsi="Century Schoolbook"/>
          <w:szCs w:val="22"/>
          <w:lang w:val="en-US"/>
        </w:rPr>
        <w:t>, Springer, 2020, p. 223-238</w:t>
      </w:r>
    </w:p>
    <w:p w14:paraId="6D5BB469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Johannes von Salisbury », in L. Cesalli, R. Imbach, A. de Libera &amp; Th. </w:t>
      </w:r>
      <w:r w:rsidRPr="00087CD5">
        <w:rPr>
          <w:rFonts w:ascii="Century Schoolbook" w:hAnsi="Century Schoolbook"/>
          <w:szCs w:val="22"/>
        </w:rPr>
        <w:t>Ricklin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proofErr w:type="spellStart"/>
      <w:r w:rsidRPr="00087CD5">
        <w:rPr>
          <w:rFonts w:ascii="Century Schoolbook" w:hAnsi="Century Schoolbook"/>
          <w:i/>
          <w:szCs w:val="22"/>
        </w:rPr>
        <w:t>Grundriss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der </w:t>
      </w:r>
      <w:proofErr w:type="spellStart"/>
      <w:r w:rsidRPr="00087CD5">
        <w:rPr>
          <w:rFonts w:ascii="Century Schoolbook" w:hAnsi="Century Schoolbook"/>
          <w:i/>
          <w:szCs w:val="22"/>
        </w:rPr>
        <w:t>Geschichte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der Philosophie. Die Philosophie des </w:t>
      </w:r>
      <w:proofErr w:type="spellStart"/>
      <w:r w:rsidRPr="00087CD5">
        <w:rPr>
          <w:rFonts w:ascii="Century Schoolbook" w:hAnsi="Century Schoolbook"/>
          <w:i/>
          <w:szCs w:val="22"/>
        </w:rPr>
        <w:t>Mittelalters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. Band 3/2 : 12. </w:t>
      </w:r>
      <w:proofErr w:type="spellStart"/>
      <w:r w:rsidRPr="00087CD5">
        <w:rPr>
          <w:rFonts w:ascii="Century Schoolbook" w:hAnsi="Century Schoolbook"/>
          <w:i/>
          <w:szCs w:val="22"/>
        </w:rPr>
        <w:t>Jahrhhundert</w:t>
      </w:r>
      <w:proofErr w:type="spellEnd"/>
      <w:r w:rsidRPr="00087CD5">
        <w:rPr>
          <w:rFonts w:ascii="Century Schoolbook" w:hAnsi="Century Schoolbook"/>
          <w:szCs w:val="22"/>
        </w:rPr>
        <w:t xml:space="preserve">, Schwabe </w:t>
      </w:r>
      <w:proofErr w:type="spellStart"/>
      <w:r w:rsidRPr="00087CD5">
        <w:rPr>
          <w:rFonts w:ascii="Century Schoolbook" w:hAnsi="Century Schoolbook"/>
          <w:szCs w:val="22"/>
        </w:rPr>
        <w:t>Verlag</w:t>
      </w:r>
      <w:proofErr w:type="spellEnd"/>
      <w:r w:rsidRPr="00087CD5">
        <w:rPr>
          <w:rFonts w:ascii="Century Schoolbook" w:hAnsi="Century Schoolbook"/>
          <w:szCs w:val="22"/>
        </w:rPr>
        <w:t>, 2020, p. 568-600</w:t>
      </w:r>
    </w:p>
    <w:p w14:paraId="7225237E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Mechanisms of Belief. Jean de Meun’s Implicit Epistemology », in J. Morton &amp; M.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Nievergelt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(dir.) </w:t>
      </w:r>
      <w:r w:rsidRPr="00087CD5">
        <w:rPr>
          <w:rFonts w:ascii="Century Schoolbook" w:hAnsi="Century Schoolbook"/>
          <w:i/>
          <w:szCs w:val="22"/>
          <w:lang w:val="en-US"/>
        </w:rPr>
        <w:t xml:space="preserve">The </w:t>
      </w:r>
      <w:r w:rsidRPr="00087CD5">
        <w:rPr>
          <w:rFonts w:ascii="Century Schoolbook" w:hAnsi="Century Schoolbook"/>
          <w:szCs w:val="22"/>
          <w:lang w:val="en-US"/>
        </w:rPr>
        <w:t>Roman de la Rose</w:t>
      </w:r>
      <w:r w:rsidRPr="00087CD5">
        <w:rPr>
          <w:rFonts w:ascii="Century Schoolbook" w:hAnsi="Century Schoolbook"/>
          <w:i/>
          <w:szCs w:val="22"/>
          <w:lang w:val="en-US"/>
        </w:rPr>
        <w:t xml:space="preserve"> and Thirteenth Century Thought</w:t>
      </w:r>
      <w:r w:rsidRPr="00087CD5">
        <w:rPr>
          <w:rFonts w:ascii="Century Schoolbook" w:hAnsi="Century Schoolbook"/>
          <w:szCs w:val="22"/>
          <w:lang w:val="en-US"/>
        </w:rPr>
        <w:t>, Cambridge, Cambridge UP, 2020, p. 27-44</w:t>
      </w:r>
    </w:p>
    <w:p w14:paraId="15CF82A6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>« Que m’est-il permis d’ignorer ? La foi, l’ignorance et les limites acceptables de l’hétérodoxie », dans C. Grellard, P. Hoffmann &amp; L. Lavaud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Genèses antiques et médiévales de la foi</w:t>
      </w:r>
      <w:r w:rsidRPr="00087CD5">
        <w:rPr>
          <w:rFonts w:ascii="Century Schoolbook" w:hAnsi="Century Schoolbook"/>
          <w:szCs w:val="22"/>
        </w:rPr>
        <w:t xml:space="preserve">, Paris, </w:t>
      </w:r>
      <w:proofErr w:type="spellStart"/>
      <w:r w:rsidRPr="00087CD5">
        <w:rPr>
          <w:rFonts w:ascii="Century Schoolbook" w:hAnsi="Century Schoolbook"/>
          <w:szCs w:val="22"/>
        </w:rPr>
        <w:t>Etudes</w:t>
      </w:r>
      <w:proofErr w:type="spellEnd"/>
      <w:r w:rsidRPr="00087CD5">
        <w:rPr>
          <w:rFonts w:ascii="Century Schoolbook" w:hAnsi="Century Schoolbook"/>
          <w:szCs w:val="22"/>
        </w:rPr>
        <w:t xml:space="preserve"> augustiniennes, 2020, p. 429-449</w:t>
      </w:r>
    </w:p>
    <w:p w14:paraId="54D3E71B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« Langage et politique chez Jean de Salisbury : Les fondements du lien social », dans G. </w:t>
      </w:r>
      <w:proofErr w:type="spellStart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Briuglia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, S. Gentili, I. Rosier-Catach (</w:t>
      </w:r>
      <w:proofErr w:type="spellStart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eds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.), </w:t>
      </w:r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>L’homme comme animal politique parlant</w:t>
      </w: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, </w:t>
      </w:r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 xml:space="preserve">Philosophical </w:t>
      </w:r>
      <w:proofErr w:type="spellStart"/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>Readings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, XII/1 (2020), p. 45-51</w:t>
      </w:r>
    </w:p>
    <w:p w14:paraId="6055D79D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« </w:t>
      </w:r>
      <w:r w:rsidRPr="00087CD5">
        <w:rPr>
          <w:rFonts w:ascii="Century Schoolbook" w:hAnsi="Century Schoolbook" w:cs="Times"/>
          <w:szCs w:val="22"/>
        </w:rPr>
        <w:t xml:space="preserve">Nominalisme et démonologie. L’imputabilité des croyances et le problème de l’hétérodoxie chez Guillaume de Manderston », dans F. </w:t>
      </w:r>
      <w:proofErr w:type="spellStart"/>
      <w:r w:rsidRPr="00087CD5">
        <w:rPr>
          <w:rFonts w:ascii="Century Schoolbook" w:hAnsi="Century Schoolbook" w:cs="Times"/>
          <w:szCs w:val="22"/>
        </w:rPr>
        <w:t>Amerini</w:t>
      </w:r>
      <w:proofErr w:type="spellEnd"/>
      <w:r w:rsidRPr="00087CD5">
        <w:rPr>
          <w:rFonts w:ascii="Century Schoolbook" w:hAnsi="Century Schoolbook" w:cs="Times"/>
          <w:szCs w:val="22"/>
        </w:rPr>
        <w:t xml:space="preserve">, S. </w:t>
      </w:r>
      <w:proofErr w:type="spellStart"/>
      <w:r w:rsidRPr="00087CD5">
        <w:rPr>
          <w:rFonts w:ascii="Century Schoolbook" w:hAnsi="Century Schoolbook" w:cs="Times"/>
          <w:szCs w:val="22"/>
        </w:rPr>
        <w:t>Fellina</w:t>
      </w:r>
      <w:proofErr w:type="spellEnd"/>
      <w:r w:rsidRPr="00087CD5">
        <w:rPr>
          <w:rFonts w:ascii="Century Schoolbook" w:hAnsi="Century Schoolbook" w:cs="Times"/>
          <w:szCs w:val="22"/>
        </w:rPr>
        <w:t xml:space="preserve">, A. </w:t>
      </w:r>
      <w:proofErr w:type="spellStart"/>
      <w:r w:rsidRPr="00087CD5">
        <w:rPr>
          <w:rFonts w:ascii="Century Schoolbook" w:hAnsi="Century Schoolbook" w:cs="Times"/>
          <w:szCs w:val="22"/>
        </w:rPr>
        <w:lastRenderedPageBreak/>
        <w:t>Strazzoni</w:t>
      </w:r>
      <w:proofErr w:type="spellEnd"/>
      <w:r w:rsidRPr="00087CD5">
        <w:rPr>
          <w:rFonts w:ascii="Century Schoolbook" w:hAnsi="Century Schoolbook" w:cs="Times"/>
          <w:szCs w:val="22"/>
        </w:rPr>
        <w:t xml:space="preserve"> (</w:t>
      </w:r>
      <w:proofErr w:type="spellStart"/>
      <w:r w:rsidRPr="00087CD5">
        <w:rPr>
          <w:rFonts w:ascii="Century Schoolbook" w:hAnsi="Century Schoolbook" w:cs="Times"/>
          <w:szCs w:val="22"/>
        </w:rPr>
        <w:t>a</w:t>
      </w:r>
      <w:proofErr w:type="spellEnd"/>
      <w:r w:rsidRPr="00087CD5">
        <w:rPr>
          <w:rFonts w:ascii="Century Schoolbook" w:hAnsi="Century Schoolbook" w:cs="Times"/>
          <w:szCs w:val="22"/>
        </w:rPr>
        <w:t xml:space="preserve"> cura di), </w:t>
      </w:r>
      <w:r w:rsidRPr="00087CD5">
        <w:rPr>
          <w:rFonts w:ascii="Century Schoolbook" w:hAnsi="Century Schoolbook" w:cs="Times"/>
          <w:i/>
          <w:szCs w:val="22"/>
        </w:rPr>
        <w:t xml:space="preserve">Tra </w:t>
      </w:r>
      <w:proofErr w:type="spellStart"/>
      <w:r w:rsidRPr="00087CD5">
        <w:rPr>
          <w:rFonts w:ascii="Century Schoolbook" w:hAnsi="Century Schoolbook" w:cs="Times"/>
          <w:i/>
          <w:szCs w:val="22"/>
        </w:rPr>
        <w:t>antichità</w:t>
      </w:r>
      <w:proofErr w:type="spellEnd"/>
      <w:r w:rsidRPr="00087CD5">
        <w:rPr>
          <w:rFonts w:ascii="Century Schoolbook" w:hAnsi="Century Schoolbook" w:cs="Times"/>
          <w:i/>
          <w:szCs w:val="22"/>
        </w:rPr>
        <w:t xml:space="preserve"> e </w:t>
      </w:r>
      <w:proofErr w:type="spellStart"/>
      <w:r w:rsidRPr="00087CD5">
        <w:rPr>
          <w:rFonts w:ascii="Century Schoolbook" w:hAnsi="Century Schoolbook" w:cs="Times"/>
          <w:i/>
          <w:szCs w:val="22"/>
        </w:rPr>
        <w:t>modernità</w:t>
      </w:r>
      <w:proofErr w:type="spellEnd"/>
      <w:r w:rsidRPr="00087CD5">
        <w:rPr>
          <w:rFonts w:ascii="Century Schoolbook" w:hAnsi="Century Schoolbook" w:cs="Times"/>
          <w:i/>
          <w:szCs w:val="22"/>
        </w:rPr>
        <w:t xml:space="preserve">. Studi di </w:t>
      </w:r>
      <w:proofErr w:type="spellStart"/>
      <w:r w:rsidRPr="00087CD5">
        <w:rPr>
          <w:rFonts w:ascii="Century Schoolbook" w:hAnsi="Century Schoolbook" w:cs="Times"/>
          <w:i/>
          <w:szCs w:val="22"/>
        </w:rPr>
        <w:t>storia</w:t>
      </w:r>
      <w:proofErr w:type="spellEnd"/>
      <w:r w:rsidRPr="00087CD5">
        <w:rPr>
          <w:rFonts w:ascii="Century Schoolbook" w:hAnsi="Century Schoolbook" w:cs="Times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 w:cs="Times"/>
          <w:i/>
          <w:szCs w:val="22"/>
        </w:rPr>
        <w:t>della</w:t>
      </w:r>
      <w:proofErr w:type="spellEnd"/>
      <w:r w:rsidRPr="00087CD5">
        <w:rPr>
          <w:rFonts w:ascii="Century Schoolbook" w:hAnsi="Century Schoolbook" w:cs="Times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 w:cs="Times"/>
          <w:i/>
          <w:szCs w:val="22"/>
        </w:rPr>
        <w:t>filosofia</w:t>
      </w:r>
      <w:proofErr w:type="spellEnd"/>
      <w:r w:rsidRPr="00087CD5">
        <w:rPr>
          <w:rFonts w:ascii="Century Schoolbook" w:hAnsi="Century Schoolbook" w:cs="Times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 w:cs="Times"/>
          <w:i/>
          <w:szCs w:val="22"/>
        </w:rPr>
        <w:t>medievale</w:t>
      </w:r>
      <w:proofErr w:type="spellEnd"/>
      <w:r w:rsidRPr="00087CD5">
        <w:rPr>
          <w:rFonts w:ascii="Century Schoolbook" w:hAnsi="Century Schoolbook" w:cs="Times"/>
          <w:i/>
          <w:szCs w:val="22"/>
        </w:rPr>
        <w:t xml:space="preserve"> e </w:t>
      </w:r>
      <w:proofErr w:type="spellStart"/>
      <w:r w:rsidRPr="00087CD5">
        <w:rPr>
          <w:rFonts w:ascii="Century Schoolbook" w:hAnsi="Century Schoolbook" w:cs="Times"/>
          <w:i/>
          <w:szCs w:val="22"/>
        </w:rPr>
        <w:t>del</w:t>
      </w:r>
      <w:proofErr w:type="spellEnd"/>
      <w:r w:rsidRPr="00087CD5">
        <w:rPr>
          <w:rFonts w:ascii="Century Schoolbook" w:hAnsi="Century Schoolbook" w:cs="Times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 w:cs="Times"/>
          <w:i/>
          <w:szCs w:val="22"/>
        </w:rPr>
        <w:t>Rinascimento</w:t>
      </w:r>
      <w:proofErr w:type="spellEnd"/>
      <w:r w:rsidRPr="00087CD5">
        <w:rPr>
          <w:rFonts w:ascii="Century Schoolbook" w:hAnsi="Century Schoolbook" w:cs="Times"/>
          <w:szCs w:val="22"/>
        </w:rPr>
        <w:t xml:space="preserve"> </w:t>
      </w:r>
      <w:proofErr w:type="gramStart"/>
      <w:r w:rsidRPr="00087CD5">
        <w:rPr>
          <w:rFonts w:ascii="Century Schoolbook" w:hAnsi="Century Schoolbook" w:cs="Times"/>
          <w:szCs w:val="22"/>
        </w:rPr>
        <w:t>(«</w:t>
      </w:r>
      <w:proofErr w:type="spellStart"/>
      <w:r w:rsidRPr="00087CD5">
        <w:rPr>
          <w:rFonts w:ascii="Century Schoolbook" w:hAnsi="Century Schoolbook" w:cs="Times"/>
          <w:szCs w:val="22"/>
        </w:rPr>
        <w:t>Quaderni</w:t>
      </w:r>
      <w:proofErr w:type="spellEnd"/>
      <w:proofErr w:type="gramEnd"/>
      <w:r w:rsidRPr="00087CD5">
        <w:rPr>
          <w:rFonts w:ascii="Century Schoolbook" w:hAnsi="Century Schoolbook" w:cs="Times"/>
          <w:szCs w:val="22"/>
        </w:rPr>
        <w:t xml:space="preserve"> di </w:t>
      </w:r>
      <w:proofErr w:type="spellStart"/>
      <w:proofErr w:type="gramStart"/>
      <w:r w:rsidRPr="00087CD5">
        <w:rPr>
          <w:rFonts w:ascii="Century Schoolbook" w:hAnsi="Century Schoolbook" w:cs="Times"/>
          <w:szCs w:val="22"/>
        </w:rPr>
        <w:t>Noctua</w:t>
      </w:r>
      <w:proofErr w:type="spellEnd"/>
      <w:r w:rsidRPr="00087CD5">
        <w:rPr>
          <w:rFonts w:ascii="Century Schoolbook" w:hAnsi="Century Schoolbook" w:cs="Times"/>
          <w:szCs w:val="22"/>
        </w:rPr>
        <w:t>»</w:t>
      </w:r>
      <w:proofErr w:type="gramEnd"/>
      <w:r w:rsidRPr="00087CD5">
        <w:rPr>
          <w:rFonts w:ascii="Century Schoolbook" w:hAnsi="Century Schoolbook" w:cs="Times"/>
          <w:szCs w:val="22"/>
        </w:rPr>
        <w:t xml:space="preserve"> 5 [2019]), p. 776-811</w:t>
      </w:r>
    </w:p>
    <w:p w14:paraId="583D95F3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« </w:t>
      </w:r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 xml:space="preserve">Lector </w:t>
      </w:r>
      <w:proofErr w:type="spellStart"/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>fidelis</w:t>
      </w:r>
      <w:proofErr w:type="spellEnd"/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 xml:space="preserve"> et </w:t>
      </w:r>
      <w:proofErr w:type="spellStart"/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>prudens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. La théorie de la lecture de Jean de Salisbury », dans </w:t>
      </w:r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>Fleur de clergie. Mélanges en l’honneur de Jean-Yves Tilliette</w:t>
      </w: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, éd. O. Collet, Y. Foehr-Janssens &amp; J.-Cl. </w:t>
      </w:r>
      <w:proofErr w:type="spellStart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Mühletaler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, Droz, Genève, 2019, p. 319-345</w:t>
      </w:r>
    </w:p>
    <w:p w14:paraId="4DAE650A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« Le rite et la raison. Scepticisme, droit et religion selon le Cotta de Cicéron », dans D. Machuca &amp; S. Marchand (éd.), </w:t>
      </w:r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 xml:space="preserve">Les raisons du doute. </w:t>
      </w:r>
      <w:proofErr w:type="spellStart"/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>Etudes</w:t>
      </w:r>
      <w:proofErr w:type="spellEnd"/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 xml:space="preserve"> sur le scepticisme antique</w:t>
      </w: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, Paris, Classique Garnier, 2019, p. 213-237</w:t>
      </w:r>
    </w:p>
    <w:p w14:paraId="366721B3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« Une histoire naturelle des religions : Blaise de Parme, les astres et les sectes », dans J. Biard &amp; A. Robert (éd.), </w:t>
      </w:r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>La philosophie de Blaise de Parme. Physique, psychologie, éthique</w:t>
      </w: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, SISMEL, </w:t>
      </w:r>
      <w:proofErr w:type="spellStart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Galuzzo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, 2019, p. 59-82</w:t>
      </w:r>
    </w:p>
    <w:p w14:paraId="2D84AD8A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color w:val="000000" w:themeColor="text1"/>
          <w:szCs w:val="22"/>
        </w:rPr>
        <w:t xml:space="preserve">« Agir dans un monde labile. La fonction éthique du lai chez Marie de France », </w:t>
      </w:r>
      <w:r w:rsidRPr="00087CD5">
        <w:rPr>
          <w:rFonts w:ascii="Century Schoolbook" w:eastAsiaTheme="minorEastAsia" w:hAnsi="Century Schoolbook"/>
          <w:i/>
          <w:color w:val="000000" w:themeColor="text1"/>
          <w:szCs w:val="22"/>
        </w:rPr>
        <w:t>Les possibles de la narration dans les Lais de Marie de France</w:t>
      </w:r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, Actes de la journée d'étude organisée le 8 janvier 2019 l’Université de Toulouse II-Jean Jaurès, </w:t>
      </w:r>
      <w:proofErr w:type="spellStart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>dir</w:t>
      </w:r>
      <w:proofErr w:type="spellEnd"/>
      <w:r w:rsidRPr="00087CD5">
        <w:rPr>
          <w:rFonts w:ascii="Century Schoolbook" w:eastAsiaTheme="minorEastAsia" w:hAnsi="Century Schoolbook"/>
          <w:color w:val="000000" w:themeColor="text1"/>
          <w:szCs w:val="22"/>
        </w:rPr>
        <w:t xml:space="preserve">. Éléonore Andrieu, p. 53-65, </w:t>
      </w:r>
      <w:hyperlink r:id="rId7" w:history="1">
        <w:r w:rsidRPr="00087CD5">
          <w:rPr>
            <w:rStyle w:val="Lienhypertexte"/>
            <w:rFonts w:ascii="Century Schoolbook" w:eastAsiaTheme="minorEastAsia" w:hAnsi="Century Schoolbook"/>
            <w:color w:val="000000" w:themeColor="text1"/>
            <w:szCs w:val="22"/>
          </w:rPr>
          <w:t>http://www.univ-paris3.fr/publications-de-la-silc-sectionfrancaise--393070.kjsp?RH=1329834238527</w:t>
        </w:r>
      </w:hyperlink>
    </w:p>
    <w:p w14:paraId="560254FB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Nicholas of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Autrecourt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on Knowledge », dans H.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Lagerlund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(ed.), </w:t>
      </w:r>
      <w:r w:rsidRPr="00087CD5">
        <w:rPr>
          <w:rFonts w:ascii="Century Schoolbook" w:hAnsi="Century Schoolbook"/>
          <w:i/>
          <w:szCs w:val="22"/>
          <w:lang w:val="en-US"/>
        </w:rPr>
        <w:t xml:space="preserve">The Philosophy of </w:t>
      </w:r>
      <w:proofErr w:type="gramStart"/>
      <w:r w:rsidRPr="00087CD5">
        <w:rPr>
          <w:rFonts w:ascii="Century Schoolbook" w:hAnsi="Century Schoolbook"/>
          <w:i/>
          <w:szCs w:val="22"/>
          <w:lang w:val="en-US"/>
        </w:rPr>
        <w:t>Knowledge :</w:t>
      </w:r>
      <w:proofErr w:type="gramEnd"/>
      <w:r w:rsidRPr="00087CD5">
        <w:rPr>
          <w:rFonts w:ascii="Century Schoolbook" w:hAnsi="Century Schoolbook"/>
          <w:i/>
          <w:szCs w:val="22"/>
          <w:lang w:val="en-US"/>
        </w:rPr>
        <w:t xml:space="preserve"> A History. </w:t>
      </w:r>
      <w:r w:rsidRPr="00087CD5">
        <w:rPr>
          <w:rFonts w:ascii="Century Schoolbook" w:hAnsi="Century Schoolbook"/>
          <w:i/>
          <w:szCs w:val="22"/>
        </w:rPr>
        <w:t xml:space="preserve">Vol. II : </w:t>
      </w:r>
      <w:proofErr w:type="spellStart"/>
      <w:r w:rsidRPr="00087CD5">
        <w:rPr>
          <w:rFonts w:ascii="Century Schoolbook" w:hAnsi="Century Schoolbook"/>
          <w:i/>
          <w:szCs w:val="22"/>
        </w:rPr>
        <w:t>Knowledge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in </w:t>
      </w:r>
      <w:proofErr w:type="spellStart"/>
      <w:r w:rsidRPr="00087CD5">
        <w:rPr>
          <w:rFonts w:ascii="Century Schoolbook" w:hAnsi="Century Schoolbook"/>
          <w:i/>
          <w:szCs w:val="22"/>
        </w:rPr>
        <w:t>Medieval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Philosophy</w:t>
      </w:r>
      <w:proofErr w:type="spellEnd"/>
      <w:r w:rsidRPr="00087CD5">
        <w:rPr>
          <w:rFonts w:ascii="Century Schoolbook" w:hAnsi="Century Schoolbook"/>
          <w:szCs w:val="22"/>
        </w:rPr>
        <w:t xml:space="preserve">, </w:t>
      </w:r>
      <w:proofErr w:type="spellStart"/>
      <w:r w:rsidRPr="00087CD5">
        <w:rPr>
          <w:rFonts w:ascii="Century Schoolbook" w:hAnsi="Century Schoolbook"/>
          <w:szCs w:val="22"/>
        </w:rPr>
        <w:t>Bloosmbury</w:t>
      </w:r>
      <w:proofErr w:type="spellEnd"/>
      <w:r w:rsidRPr="00087CD5">
        <w:rPr>
          <w:rFonts w:ascii="Century Schoolbook" w:hAnsi="Century Schoolbook"/>
          <w:szCs w:val="22"/>
        </w:rPr>
        <w:t>, London, 2019, p. 167-189</w:t>
      </w:r>
    </w:p>
    <w:p w14:paraId="328316D2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L’erreur invincible et le problème sceptique à la fin du Moyen Âge » dans A. Speer &amp; M. </w:t>
      </w:r>
      <w:proofErr w:type="spellStart"/>
      <w:r w:rsidRPr="00087CD5">
        <w:rPr>
          <w:rFonts w:ascii="Century Schoolbook" w:hAnsi="Century Schoolbook"/>
          <w:szCs w:val="22"/>
        </w:rPr>
        <w:t>Mauriège</w:t>
      </w:r>
      <w:proofErr w:type="spellEnd"/>
      <w:r w:rsidRPr="00087CD5">
        <w:rPr>
          <w:rFonts w:ascii="Century Schoolbook" w:hAnsi="Century Schoolbook"/>
          <w:szCs w:val="22"/>
        </w:rPr>
        <w:t xml:space="preserve"> (</w:t>
      </w:r>
      <w:proofErr w:type="spellStart"/>
      <w:r w:rsidRPr="00087CD5">
        <w:rPr>
          <w:rFonts w:ascii="Century Schoolbook" w:hAnsi="Century Schoolbook"/>
          <w:szCs w:val="22"/>
        </w:rPr>
        <w:t>Hrsg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proofErr w:type="spellStart"/>
      <w:r w:rsidRPr="00087CD5">
        <w:rPr>
          <w:rFonts w:ascii="Century Schoolbook" w:hAnsi="Century Schoolbook"/>
          <w:i/>
          <w:szCs w:val="22"/>
        </w:rPr>
        <w:t>Irrtum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– </w:t>
      </w:r>
      <w:proofErr w:type="spellStart"/>
      <w:r w:rsidRPr="00087CD5">
        <w:rPr>
          <w:rFonts w:ascii="Century Schoolbook" w:hAnsi="Century Schoolbook"/>
          <w:i/>
          <w:szCs w:val="22"/>
        </w:rPr>
        <w:t>Error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– Erreur</w:t>
      </w:r>
      <w:r w:rsidRPr="00087CD5">
        <w:rPr>
          <w:rFonts w:ascii="Century Schoolbook" w:hAnsi="Century Schoolbook"/>
          <w:szCs w:val="22"/>
        </w:rPr>
        <w:t xml:space="preserve">, </w:t>
      </w:r>
      <w:proofErr w:type="spellStart"/>
      <w:r w:rsidRPr="00087CD5">
        <w:rPr>
          <w:rFonts w:ascii="Century Schoolbook" w:hAnsi="Century Schoolbook"/>
          <w:szCs w:val="22"/>
        </w:rPr>
        <w:t>Miscellenea</w:t>
      </w:r>
      <w:proofErr w:type="spellEnd"/>
      <w:r w:rsidRPr="00087CD5">
        <w:rPr>
          <w:rFonts w:ascii="Century Schoolbook" w:hAnsi="Century Schoolbook"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szCs w:val="22"/>
        </w:rPr>
        <w:t>Mediaevalia</w:t>
      </w:r>
      <w:proofErr w:type="spellEnd"/>
      <w:r w:rsidRPr="00087CD5">
        <w:rPr>
          <w:rFonts w:ascii="Century Schoolbook" w:hAnsi="Century Schoolbook"/>
          <w:szCs w:val="22"/>
        </w:rPr>
        <w:t xml:space="preserve">, Bd. 40, De </w:t>
      </w:r>
      <w:proofErr w:type="spellStart"/>
      <w:r w:rsidRPr="00087CD5">
        <w:rPr>
          <w:rFonts w:ascii="Century Schoolbook" w:hAnsi="Century Schoolbook"/>
          <w:szCs w:val="22"/>
        </w:rPr>
        <w:t>Gruyter</w:t>
      </w:r>
      <w:proofErr w:type="spellEnd"/>
      <w:r w:rsidRPr="00087CD5">
        <w:rPr>
          <w:rFonts w:ascii="Century Schoolbook" w:hAnsi="Century Schoolbook"/>
          <w:szCs w:val="22"/>
        </w:rPr>
        <w:t>, Berlin – Boston, 2018, p. 39-52</w:t>
      </w:r>
    </w:p>
    <w:p w14:paraId="6A0F56DF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>« Jean de Salisbury et l’hétérodoxie » dans Ch. Grellard &amp; F. Lachaud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Jean de Salisbury, nouvelles lectures, nouveaux enjeux</w:t>
      </w:r>
      <w:r w:rsidRPr="00087CD5">
        <w:rPr>
          <w:rFonts w:ascii="Century Schoolbook" w:hAnsi="Century Schoolbook"/>
          <w:szCs w:val="22"/>
        </w:rPr>
        <w:t xml:space="preserve">, SISMEL, </w:t>
      </w:r>
      <w:proofErr w:type="spellStart"/>
      <w:r w:rsidRPr="00087CD5">
        <w:rPr>
          <w:rFonts w:ascii="Century Schoolbook" w:hAnsi="Century Schoolbook"/>
          <w:szCs w:val="22"/>
        </w:rPr>
        <w:t>Edizioni</w:t>
      </w:r>
      <w:proofErr w:type="spellEnd"/>
      <w:r w:rsidRPr="00087CD5">
        <w:rPr>
          <w:rFonts w:ascii="Century Schoolbook" w:hAnsi="Century Schoolbook"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szCs w:val="22"/>
        </w:rPr>
        <w:t>del</w:t>
      </w:r>
      <w:proofErr w:type="spellEnd"/>
      <w:r w:rsidRPr="00087CD5">
        <w:rPr>
          <w:rFonts w:ascii="Century Schoolbook" w:hAnsi="Century Schoolbook"/>
          <w:szCs w:val="22"/>
        </w:rPr>
        <w:t xml:space="preserve"> Galluzzo, 2018, p. 211-229</w:t>
      </w:r>
    </w:p>
    <w:p w14:paraId="69848805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‘L’erreur de Frédéric’. La relativité des religions au Moyen Âge », dans J.-B. </w:t>
      </w:r>
      <w:proofErr w:type="spellStart"/>
      <w:r w:rsidRPr="00087CD5">
        <w:rPr>
          <w:rFonts w:ascii="Century Schoolbook" w:hAnsi="Century Schoolbook"/>
          <w:szCs w:val="22"/>
        </w:rPr>
        <w:t>Brenet</w:t>
      </w:r>
      <w:proofErr w:type="spellEnd"/>
      <w:r w:rsidRPr="00087CD5">
        <w:rPr>
          <w:rFonts w:ascii="Century Schoolbook" w:hAnsi="Century Schoolbook"/>
          <w:szCs w:val="22"/>
        </w:rPr>
        <w:t xml:space="preserve"> &amp; L. </w:t>
      </w:r>
      <w:proofErr w:type="spellStart"/>
      <w:r w:rsidRPr="00087CD5">
        <w:rPr>
          <w:rFonts w:ascii="Century Schoolbook" w:hAnsi="Century Schoolbook"/>
          <w:szCs w:val="22"/>
        </w:rPr>
        <w:t>Cesalli</w:t>
      </w:r>
      <w:proofErr w:type="spellEnd"/>
      <w:r w:rsidRPr="00087CD5">
        <w:rPr>
          <w:rFonts w:ascii="Century Schoolbook" w:hAnsi="Century Schoolbook"/>
          <w:szCs w:val="22"/>
        </w:rPr>
        <w:t xml:space="preserve">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Sujet libre. Pour Alain de Libera</w:t>
      </w:r>
      <w:r w:rsidRPr="00087CD5">
        <w:rPr>
          <w:rFonts w:ascii="Century Schoolbook" w:hAnsi="Century Schoolbook"/>
          <w:szCs w:val="22"/>
        </w:rPr>
        <w:t>, Paris, Vrin, 2018, p. 163-168</w:t>
      </w:r>
    </w:p>
    <w:p w14:paraId="1C630DF2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Nicholas of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Autrécourt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and John Buridan on Skepticism », dans D. Machuca &amp; B. Reed (dir.), </w:t>
      </w:r>
      <w:proofErr w:type="gramStart"/>
      <w:r w:rsidRPr="00087CD5">
        <w:rPr>
          <w:rFonts w:ascii="Century Schoolbook" w:hAnsi="Century Schoolbook"/>
          <w:i/>
          <w:szCs w:val="22"/>
          <w:lang w:val="en-US"/>
        </w:rPr>
        <w:t>Skepticism :</w:t>
      </w:r>
      <w:proofErr w:type="gramEnd"/>
      <w:r w:rsidRPr="00087CD5">
        <w:rPr>
          <w:rFonts w:ascii="Century Schoolbook" w:hAnsi="Century Schoolbook"/>
          <w:i/>
          <w:szCs w:val="22"/>
          <w:lang w:val="en-US"/>
        </w:rPr>
        <w:t xml:space="preserve"> From Antiquity to the Present</w:t>
      </w:r>
      <w:r w:rsidRPr="00087CD5">
        <w:rPr>
          <w:rFonts w:ascii="Century Schoolbook" w:hAnsi="Century Schoolbook"/>
          <w:szCs w:val="22"/>
          <w:lang w:val="en-US"/>
        </w:rPr>
        <w:t>, Bloomsbury, London, 2018, p. 209-221</w:t>
      </w:r>
    </w:p>
    <w:p w14:paraId="1F1AC67F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>« Y a-t-il une tradition sceptique au Moyen Âge ? », dans D. Calma &amp; Z. Kaluza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Regards sur les traditions philosophiques (</w:t>
      </w:r>
      <w:r w:rsidRPr="00087CD5">
        <w:rPr>
          <w:rFonts w:ascii="Century Schoolbook" w:hAnsi="Century Schoolbook"/>
          <w:i/>
          <w:smallCaps/>
          <w:szCs w:val="22"/>
        </w:rPr>
        <w:t>xii</w:t>
      </w:r>
      <w:r w:rsidRPr="00087CD5">
        <w:rPr>
          <w:rFonts w:ascii="Century Schoolbook" w:hAnsi="Century Schoolbook"/>
          <w:i/>
          <w:szCs w:val="22"/>
          <w:vertAlign w:val="superscript"/>
        </w:rPr>
        <w:t>e</w:t>
      </w:r>
      <w:r w:rsidRPr="00087CD5">
        <w:rPr>
          <w:rFonts w:ascii="Century Schoolbook" w:hAnsi="Century Schoolbook"/>
          <w:i/>
          <w:szCs w:val="22"/>
        </w:rPr>
        <w:t xml:space="preserve"> – </w:t>
      </w:r>
      <w:proofErr w:type="spellStart"/>
      <w:r w:rsidRPr="00087CD5">
        <w:rPr>
          <w:rFonts w:ascii="Century Schoolbook" w:hAnsi="Century Schoolbook"/>
          <w:i/>
          <w:smallCaps/>
          <w:szCs w:val="22"/>
        </w:rPr>
        <w:t>xiv</w:t>
      </w:r>
      <w:r w:rsidRPr="00087CD5">
        <w:rPr>
          <w:rFonts w:ascii="Century Schoolbook" w:hAnsi="Century Schoolbook"/>
          <w:i/>
          <w:szCs w:val="22"/>
          <w:vertAlign w:val="superscript"/>
        </w:rPr>
        <w:t>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siècles)</w:t>
      </w:r>
      <w:r w:rsidRPr="00087CD5">
        <w:rPr>
          <w:rFonts w:ascii="Century Schoolbook" w:hAnsi="Century Schoolbook"/>
          <w:szCs w:val="22"/>
        </w:rPr>
        <w:t xml:space="preserve">, Leuven </w:t>
      </w:r>
      <w:proofErr w:type="spellStart"/>
      <w:r w:rsidRPr="00087CD5">
        <w:rPr>
          <w:rFonts w:ascii="Century Schoolbook" w:hAnsi="Century Schoolbook"/>
          <w:szCs w:val="22"/>
        </w:rPr>
        <w:t>University</w:t>
      </w:r>
      <w:proofErr w:type="spellEnd"/>
      <w:r w:rsidRPr="00087CD5">
        <w:rPr>
          <w:rFonts w:ascii="Century Schoolbook" w:hAnsi="Century Schoolbook"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szCs w:val="22"/>
        </w:rPr>
        <w:t>Press</w:t>
      </w:r>
      <w:proofErr w:type="spellEnd"/>
      <w:r w:rsidRPr="00087CD5">
        <w:rPr>
          <w:rFonts w:ascii="Century Schoolbook" w:hAnsi="Century Schoolbook"/>
          <w:szCs w:val="22"/>
        </w:rPr>
        <w:t>, Leuven, 2017, p. 187-209</w:t>
      </w:r>
    </w:p>
    <w:p w14:paraId="613DB7D9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>« Le philosophe et le glouton. Le plaisir de boire et manger dans les commentaires à l’</w:t>
      </w:r>
      <w:proofErr w:type="spellStart"/>
      <w:r w:rsidRPr="00087CD5">
        <w:rPr>
          <w:rFonts w:ascii="Century Schoolbook" w:hAnsi="Century Schoolbook"/>
          <w:i/>
          <w:szCs w:val="22"/>
        </w:rPr>
        <w:t>Ethique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à Nicomaque</w:t>
      </w:r>
      <w:r w:rsidRPr="00087CD5">
        <w:rPr>
          <w:rFonts w:ascii="Century Schoolbook" w:hAnsi="Century Schoolbook"/>
          <w:szCs w:val="22"/>
        </w:rPr>
        <w:t xml:space="preserve"> de Jean Buridan et Nicole Oresme », dans Ch. Grellard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Miroirs de l’amitié. Mélanges offerts à Joël Biard à l’occasion de ses 65 ans</w:t>
      </w:r>
      <w:r w:rsidRPr="00087CD5">
        <w:rPr>
          <w:rFonts w:ascii="Century Schoolbook" w:hAnsi="Century Schoolbook"/>
          <w:szCs w:val="22"/>
        </w:rPr>
        <w:t>, Paris, Vrin, 2017, p. 371-386</w:t>
      </w:r>
    </w:p>
    <w:p w14:paraId="17C2E523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>« Scepticisme et prescience divine de saint Augustin à Jean de Salisbury », dans A.-I. Bouton-</w:t>
      </w:r>
      <w:proofErr w:type="spellStart"/>
      <w:r w:rsidRPr="00087CD5">
        <w:rPr>
          <w:rFonts w:ascii="Century Schoolbook" w:hAnsi="Century Schoolbook"/>
          <w:szCs w:val="22"/>
        </w:rPr>
        <w:t>Touboulic</w:t>
      </w:r>
      <w:proofErr w:type="spellEnd"/>
      <w:r w:rsidRPr="00087CD5">
        <w:rPr>
          <w:rFonts w:ascii="Century Schoolbook" w:hAnsi="Century Schoolbook"/>
          <w:szCs w:val="22"/>
        </w:rPr>
        <w:t xml:space="preserve"> &amp; C. Lévy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Scepticisme et religion. Constantes et évolutions, de la philosophie hellénistique à la philosophie médiévale</w:t>
      </w:r>
      <w:r w:rsidRPr="00087CD5">
        <w:rPr>
          <w:rFonts w:ascii="Century Schoolbook" w:hAnsi="Century Schoolbook"/>
          <w:szCs w:val="22"/>
        </w:rPr>
        <w:t xml:space="preserve">, </w:t>
      </w:r>
      <w:proofErr w:type="spellStart"/>
      <w:r w:rsidRPr="00087CD5">
        <w:rPr>
          <w:rFonts w:ascii="Century Schoolbook" w:hAnsi="Century Schoolbook"/>
          <w:szCs w:val="22"/>
        </w:rPr>
        <w:t>Brepols</w:t>
      </w:r>
      <w:proofErr w:type="spellEnd"/>
      <w:r w:rsidRPr="00087CD5">
        <w:rPr>
          <w:rFonts w:ascii="Century Schoolbook" w:hAnsi="Century Schoolbook"/>
          <w:szCs w:val="22"/>
        </w:rPr>
        <w:t>, Turnhout, 2016, p. 235-251</w:t>
      </w:r>
    </w:p>
    <w:p w14:paraId="2ADD395F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Les mutations du savoir au </w:t>
      </w:r>
      <w:proofErr w:type="spellStart"/>
      <w:r w:rsidRPr="00087CD5">
        <w:rPr>
          <w:rFonts w:ascii="Century Schoolbook" w:hAnsi="Century Schoolbook"/>
          <w:smallCaps/>
          <w:szCs w:val="22"/>
        </w:rPr>
        <w:t>xiv</w:t>
      </w:r>
      <w:r w:rsidRPr="00087CD5">
        <w:rPr>
          <w:rFonts w:ascii="Century Schoolbook" w:hAnsi="Century Schoolbook"/>
          <w:szCs w:val="22"/>
          <w:vertAlign w:val="superscript"/>
        </w:rPr>
        <w:t>e</w:t>
      </w:r>
      <w:proofErr w:type="spellEnd"/>
      <w:r w:rsidRPr="00087CD5">
        <w:rPr>
          <w:rFonts w:ascii="Century Schoolbook" w:hAnsi="Century Schoolbook"/>
          <w:szCs w:val="22"/>
        </w:rPr>
        <w:t xml:space="preserve"> siècle : l’exemple de la théorie de la science de Nicole Oresme », dans J. Ducos &amp; M. </w:t>
      </w:r>
      <w:proofErr w:type="spellStart"/>
      <w:r w:rsidRPr="00087CD5">
        <w:rPr>
          <w:rFonts w:ascii="Century Schoolbook" w:hAnsi="Century Schoolbook"/>
          <w:szCs w:val="22"/>
        </w:rPr>
        <w:t>Goyens</w:t>
      </w:r>
      <w:proofErr w:type="spellEnd"/>
      <w:r w:rsidRPr="00087CD5">
        <w:rPr>
          <w:rFonts w:ascii="Century Schoolbook" w:hAnsi="Century Schoolbook"/>
          <w:szCs w:val="22"/>
        </w:rPr>
        <w:t xml:space="preserve">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 xml:space="preserve">Traduire au </w:t>
      </w:r>
      <w:proofErr w:type="spellStart"/>
      <w:r w:rsidRPr="00087CD5">
        <w:rPr>
          <w:rFonts w:ascii="Century Schoolbook" w:hAnsi="Century Schoolbook"/>
          <w:i/>
          <w:smallCaps/>
          <w:szCs w:val="22"/>
        </w:rPr>
        <w:t>xiv</w:t>
      </w:r>
      <w:r w:rsidRPr="00087CD5">
        <w:rPr>
          <w:rFonts w:ascii="Century Schoolbook" w:hAnsi="Century Schoolbook"/>
          <w:i/>
          <w:szCs w:val="22"/>
          <w:vertAlign w:val="superscript"/>
        </w:rPr>
        <w:t>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siècle. Evrart de Conty et la vie intellectuelle à la cour de Charles V</w:t>
      </w:r>
      <w:r w:rsidRPr="00087CD5">
        <w:rPr>
          <w:rFonts w:ascii="Century Schoolbook" w:hAnsi="Century Schoolbook"/>
          <w:szCs w:val="22"/>
        </w:rPr>
        <w:t>, H. Champion, Paris, 2015, p. 41-70</w:t>
      </w:r>
    </w:p>
    <w:p w14:paraId="03EEBA32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Probabilisme et approximation du vrai au </w:t>
      </w:r>
      <w:proofErr w:type="spellStart"/>
      <w:r w:rsidRPr="00087CD5">
        <w:rPr>
          <w:rFonts w:ascii="Century Schoolbook" w:hAnsi="Century Schoolbook"/>
          <w:smallCaps/>
          <w:szCs w:val="22"/>
        </w:rPr>
        <w:t>xiv</w:t>
      </w:r>
      <w:r w:rsidRPr="00087CD5">
        <w:rPr>
          <w:rFonts w:ascii="Century Schoolbook" w:hAnsi="Century Schoolbook"/>
          <w:szCs w:val="22"/>
          <w:vertAlign w:val="superscript"/>
        </w:rPr>
        <w:t>e</w:t>
      </w:r>
      <w:proofErr w:type="spellEnd"/>
      <w:r w:rsidRPr="00087CD5">
        <w:rPr>
          <w:rFonts w:ascii="Century Schoolbook" w:hAnsi="Century Schoolbook"/>
          <w:szCs w:val="22"/>
        </w:rPr>
        <w:t xml:space="preserve"> siècle (Jean Buridan, Nicole Oresme, Jean Gerson) », dans J.-Ph. Genet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La vérité</w:t>
      </w:r>
      <w:r w:rsidRPr="00087CD5">
        <w:rPr>
          <w:rFonts w:ascii="Century Schoolbook" w:hAnsi="Century Schoolbook"/>
          <w:szCs w:val="22"/>
        </w:rPr>
        <w:t>, Publications de la Sorbonne, Paris, 2015, p. 65-79</w:t>
      </w:r>
    </w:p>
    <w:p w14:paraId="7869CAFB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Science et opinion dans les </w:t>
      </w:r>
      <w:r w:rsidRPr="00087CD5">
        <w:rPr>
          <w:rFonts w:ascii="Century Schoolbook" w:hAnsi="Century Schoolbook"/>
          <w:i/>
          <w:szCs w:val="22"/>
        </w:rPr>
        <w:t>Questions sur les seconds analytiques</w:t>
      </w:r>
      <w:r w:rsidRPr="00087CD5">
        <w:rPr>
          <w:rFonts w:ascii="Century Schoolbook" w:hAnsi="Century Schoolbook"/>
          <w:szCs w:val="22"/>
        </w:rPr>
        <w:t xml:space="preserve"> de Jean Buridan », dans J. Biard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La tradition médiévale des Seconds Analytiques</w:t>
      </w:r>
      <w:r w:rsidRPr="00087CD5">
        <w:rPr>
          <w:rFonts w:ascii="Century Schoolbook" w:hAnsi="Century Schoolbook"/>
          <w:szCs w:val="22"/>
        </w:rPr>
        <w:t xml:space="preserve">, </w:t>
      </w:r>
      <w:proofErr w:type="spellStart"/>
      <w:r w:rsidRPr="00087CD5">
        <w:rPr>
          <w:rFonts w:ascii="Century Schoolbook" w:hAnsi="Century Schoolbook"/>
          <w:szCs w:val="22"/>
        </w:rPr>
        <w:t>Brepols</w:t>
      </w:r>
      <w:proofErr w:type="spellEnd"/>
      <w:r w:rsidRPr="00087CD5">
        <w:rPr>
          <w:rFonts w:ascii="Century Schoolbook" w:hAnsi="Century Schoolbook"/>
          <w:szCs w:val="22"/>
        </w:rPr>
        <w:t>, Turnhout, 2015, p. 131-150</w:t>
      </w:r>
    </w:p>
    <w:p w14:paraId="0D9CEF94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087CD5">
        <w:rPr>
          <w:rFonts w:ascii="Century Schoolbook" w:hAnsi="Century Schoolbook"/>
          <w:szCs w:val="22"/>
          <w:lang w:val="en-US"/>
        </w:rPr>
        <w:lastRenderedPageBreak/>
        <w:t xml:space="preserve">« The Nature of Intentional Objects in Nicholas of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Autrecourt’s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Theory of Knowledge », in G. Klima (dir.), </w:t>
      </w:r>
      <w:r w:rsidRPr="00087CD5">
        <w:rPr>
          <w:rFonts w:ascii="Century Schoolbook" w:hAnsi="Century Schoolbook"/>
          <w:i/>
          <w:szCs w:val="22"/>
          <w:lang w:val="en-US"/>
        </w:rPr>
        <w:t>Intentionality, Cognition and Mental Representation in Medieval Philosophy</w:t>
      </w:r>
      <w:r w:rsidRPr="00087CD5">
        <w:rPr>
          <w:rFonts w:ascii="Century Schoolbook" w:hAnsi="Century Schoolbook"/>
          <w:szCs w:val="22"/>
          <w:lang w:val="en-US"/>
        </w:rPr>
        <w:t>, Fordham University Press, New York, 2015, p. 235-250</w:t>
      </w:r>
    </w:p>
    <w:p w14:paraId="589FC5EC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John of Salisbury and Theology », in </w:t>
      </w:r>
      <w:r w:rsidRPr="00087CD5">
        <w:rPr>
          <w:rFonts w:ascii="Century Schoolbook" w:hAnsi="Century Schoolbook"/>
          <w:i/>
          <w:szCs w:val="22"/>
          <w:lang w:val="en-US"/>
        </w:rPr>
        <w:t>A Companion to John of Salisbury</w:t>
      </w:r>
      <w:r w:rsidRPr="00087CD5">
        <w:rPr>
          <w:rFonts w:ascii="Century Schoolbook" w:hAnsi="Century Schoolbook"/>
          <w:szCs w:val="22"/>
          <w:lang w:val="en-US"/>
        </w:rPr>
        <w:t>, ed. by C. Grellard and F. Lachaud, Brill, Leiden-Boston, 2014, p. 339-373</w:t>
      </w:r>
    </w:p>
    <w:p w14:paraId="0478E1AE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La théorie de la croyance de Nicole Oresme », dans </w:t>
      </w:r>
      <w:r w:rsidRPr="00087CD5">
        <w:rPr>
          <w:rFonts w:ascii="Century Schoolbook" w:hAnsi="Century Schoolbook"/>
          <w:i/>
          <w:szCs w:val="22"/>
        </w:rPr>
        <w:t xml:space="preserve">Nicole Oresme Philosophe. Philosophie de la nature et philosophie de la connaissance à Paris au </w:t>
      </w:r>
      <w:proofErr w:type="spellStart"/>
      <w:r w:rsidRPr="00087CD5">
        <w:rPr>
          <w:rFonts w:ascii="Century Schoolbook" w:hAnsi="Century Schoolbook"/>
          <w:i/>
          <w:smallCaps/>
          <w:szCs w:val="22"/>
        </w:rPr>
        <w:t>xiv</w:t>
      </w:r>
      <w:r w:rsidRPr="00087CD5">
        <w:rPr>
          <w:rFonts w:ascii="Century Schoolbook" w:hAnsi="Century Schoolbook"/>
          <w:i/>
          <w:szCs w:val="22"/>
          <w:vertAlign w:val="superscript"/>
        </w:rPr>
        <w:t>e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gramStart"/>
      <w:r w:rsidRPr="00087CD5">
        <w:rPr>
          <w:rFonts w:ascii="Century Schoolbook" w:hAnsi="Century Schoolbook"/>
          <w:i/>
          <w:szCs w:val="22"/>
        </w:rPr>
        <w:t>siècle</w:t>
      </w:r>
      <w:r w:rsidRPr="00087CD5">
        <w:rPr>
          <w:rFonts w:ascii="Century Schoolbook" w:hAnsi="Century Schoolbook"/>
          <w:szCs w:val="22"/>
        </w:rPr>
        <w:t>,  J.</w:t>
      </w:r>
      <w:proofErr w:type="gramEnd"/>
      <w:r w:rsidRPr="00087CD5">
        <w:rPr>
          <w:rFonts w:ascii="Century Schoolbook" w:hAnsi="Century Schoolbook"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szCs w:val="22"/>
        </w:rPr>
        <w:t>Celeyrette</w:t>
      </w:r>
      <w:proofErr w:type="spellEnd"/>
      <w:r w:rsidRPr="00087CD5">
        <w:rPr>
          <w:rFonts w:ascii="Century Schoolbook" w:hAnsi="Century Schoolbook"/>
          <w:szCs w:val="22"/>
        </w:rPr>
        <w:t xml:space="preserve"> et C. Grellard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proofErr w:type="spellStart"/>
      <w:r w:rsidRPr="00087CD5">
        <w:rPr>
          <w:rFonts w:ascii="Century Schoolbook" w:hAnsi="Century Schoolbook"/>
          <w:szCs w:val="22"/>
        </w:rPr>
        <w:t>Brepols</w:t>
      </w:r>
      <w:proofErr w:type="spellEnd"/>
      <w:r w:rsidRPr="00087CD5">
        <w:rPr>
          <w:rFonts w:ascii="Century Schoolbook" w:hAnsi="Century Schoolbook"/>
          <w:szCs w:val="22"/>
        </w:rPr>
        <w:t>, Turnhout, 2014, p. 203-223</w:t>
      </w:r>
    </w:p>
    <w:p w14:paraId="2C7675C0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  <w:lang w:val="en-US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How is it possible to believe </w:t>
      </w:r>
      <w:proofErr w:type="gramStart"/>
      <w:r w:rsidRPr="00087CD5">
        <w:rPr>
          <w:rFonts w:ascii="Century Schoolbook" w:hAnsi="Century Schoolbook"/>
          <w:szCs w:val="22"/>
          <w:lang w:val="en-US"/>
        </w:rPr>
        <w:t>falsely ?</w:t>
      </w:r>
      <w:proofErr w:type="gramEnd"/>
      <w:r w:rsidRPr="00087CD5">
        <w:rPr>
          <w:rFonts w:ascii="Century Schoolbook" w:hAnsi="Century Schoolbook"/>
          <w:szCs w:val="22"/>
          <w:lang w:val="en-US"/>
        </w:rPr>
        <w:t xml:space="preserve"> John Buridan, the </w:t>
      </w:r>
      <w:proofErr w:type="spellStart"/>
      <w:r w:rsidRPr="00087CD5">
        <w:rPr>
          <w:rFonts w:ascii="Century Schoolbook" w:hAnsi="Century Schoolbook"/>
          <w:i/>
          <w:szCs w:val="22"/>
          <w:lang w:val="en-US"/>
        </w:rPr>
        <w:t>vetula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and the psychology of error » in K. Gosh, D. Denery, R. Copeland &amp; N. Zeeman (dir.), </w:t>
      </w:r>
      <w:r w:rsidRPr="00087CD5">
        <w:rPr>
          <w:rFonts w:ascii="Century Schoolbook" w:hAnsi="Century Schoolbook"/>
          <w:i/>
          <w:szCs w:val="22"/>
          <w:lang w:val="en-US"/>
        </w:rPr>
        <w:t xml:space="preserve">Uncertain Knowledge: Interdisciplinary Conversations about Doubt and </w:t>
      </w:r>
      <w:proofErr w:type="spellStart"/>
      <w:r w:rsidRPr="00087CD5">
        <w:rPr>
          <w:rFonts w:ascii="Century Schoolbook" w:hAnsi="Century Schoolbook"/>
          <w:i/>
          <w:szCs w:val="22"/>
          <w:lang w:val="en-US"/>
        </w:rPr>
        <w:t>Scepticism</w:t>
      </w:r>
      <w:proofErr w:type="spellEnd"/>
      <w:r w:rsidRPr="00087CD5">
        <w:rPr>
          <w:rFonts w:ascii="Century Schoolbook" w:hAnsi="Century Schoolbook"/>
          <w:i/>
          <w:szCs w:val="22"/>
          <w:lang w:val="en-US"/>
        </w:rPr>
        <w:t xml:space="preserve"> in the Middle Ages</w:t>
      </w:r>
      <w:r w:rsidRPr="00087CD5">
        <w:rPr>
          <w:rFonts w:ascii="Century Schoolbook" w:hAnsi="Century Schoolbook"/>
          <w:szCs w:val="22"/>
          <w:lang w:val="en-US"/>
        </w:rPr>
        <w:t xml:space="preserve">,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Brepols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>, Turnhout, 2014, p. 91-113</w:t>
      </w:r>
    </w:p>
    <w:p w14:paraId="579020AA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L’âne et les petites vieilles : psychologie de l’action et logique de l’assentiment chez Jean Buridan » dans L. </w:t>
      </w:r>
      <w:proofErr w:type="spellStart"/>
      <w:r w:rsidRPr="00087CD5">
        <w:rPr>
          <w:rFonts w:ascii="Century Schoolbook" w:hAnsi="Century Schoolbook"/>
          <w:szCs w:val="22"/>
        </w:rPr>
        <w:t>Jaffro</w:t>
      </w:r>
      <w:proofErr w:type="spellEnd"/>
      <w:r w:rsidRPr="00087CD5">
        <w:rPr>
          <w:rFonts w:ascii="Century Schoolbook" w:hAnsi="Century Schoolbook"/>
          <w:szCs w:val="22"/>
        </w:rPr>
        <w:t xml:space="preserve">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 xml:space="preserve">Croit-on comme on </w:t>
      </w:r>
      <w:proofErr w:type="gramStart"/>
      <w:r w:rsidRPr="00087CD5">
        <w:rPr>
          <w:rFonts w:ascii="Century Schoolbook" w:hAnsi="Century Schoolbook"/>
          <w:i/>
          <w:szCs w:val="22"/>
        </w:rPr>
        <w:t>veut?</w:t>
      </w:r>
      <w:proofErr w:type="gramEnd"/>
      <w:r w:rsidRPr="00087CD5">
        <w:rPr>
          <w:rFonts w:ascii="Century Schoolbook" w:hAnsi="Century Schoolbook"/>
          <w:i/>
          <w:szCs w:val="22"/>
        </w:rPr>
        <w:t xml:space="preserve"> </w:t>
      </w:r>
      <w:r w:rsidRPr="00087CD5">
        <w:rPr>
          <w:rFonts w:ascii="Century Schoolbook" w:hAnsi="Century Schoolbook"/>
          <w:i/>
          <w:szCs w:val="22"/>
          <w:lang w:val="en-US"/>
        </w:rPr>
        <w:t xml:space="preserve">Histoire </w:t>
      </w:r>
      <w:proofErr w:type="spellStart"/>
      <w:r w:rsidRPr="00087CD5">
        <w:rPr>
          <w:rFonts w:ascii="Century Schoolbook" w:hAnsi="Century Schoolbook"/>
          <w:i/>
          <w:szCs w:val="22"/>
          <w:lang w:val="en-US"/>
        </w:rPr>
        <w:t>d’une</w:t>
      </w:r>
      <w:proofErr w:type="spellEnd"/>
      <w:r w:rsidRPr="00087CD5">
        <w:rPr>
          <w:rFonts w:ascii="Century Schoolbook" w:hAnsi="Century Schoolbook"/>
          <w:i/>
          <w:szCs w:val="22"/>
          <w:lang w:val="en-US"/>
        </w:rPr>
        <w:t xml:space="preserve"> controverse,</w:t>
      </w:r>
      <w:r w:rsidRPr="00087CD5">
        <w:rPr>
          <w:rFonts w:ascii="Century Schoolbook" w:hAnsi="Century Schoolbook"/>
          <w:szCs w:val="22"/>
          <w:lang w:val="en-US"/>
        </w:rPr>
        <w:t xml:space="preserve"> Paris,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Vrin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>, 2013, p. 79-101</w:t>
      </w:r>
    </w:p>
    <w:p w14:paraId="4F41F266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Doxographie et anecdotes. L’écriture sceptique de Jean de Salisbury », dans F. </w:t>
      </w:r>
      <w:proofErr w:type="spellStart"/>
      <w:r w:rsidRPr="00087CD5">
        <w:rPr>
          <w:rFonts w:ascii="Century Schoolbook" w:hAnsi="Century Schoolbook"/>
          <w:szCs w:val="22"/>
        </w:rPr>
        <w:t>Lecercle</w:t>
      </w:r>
      <w:proofErr w:type="spellEnd"/>
      <w:r w:rsidRPr="00087CD5">
        <w:rPr>
          <w:rFonts w:ascii="Century Schoolbook" w:hAnsi="Century Schoolbook"/>
          <w:szCs w:val="22"/>
        </w:rPr>
        <w:t xml:space="preserve"> &amp; G. </w:t>
      </w:r>
      <w:proofErr w:type="spellStart"/>
      <w:r w:rsidRPr="00087CD5">
        <w:rPr>
          <w:rFonts w:ascii="Century Schoolbook" w:hAnsi="Century Schoolbook"/>
          <w:szCs w:val="22"/>
        </w:rPr>
        <w:t>Navaud</w:t>
      </w:r>
      <w:proofErr w:type="spellEnd"/>
      <w:r w:rsidRPr="00087CD5">
        <w:rPr>
          <w:rFonts w:ascii="Century Schoolbook" w:hAnsi="Century Schoolbook"/>
          <w:szCs w:val="22"/>
        </w:rPr>
        <w:t xml:space="preserve">, </w:t>
      </w:r>
      <w:r w:rsidRPr="00087CD5">
        <w:rPr>
          <w:rFonts w:ascii="Century Schoolbook" w:hAnsi="Century Schoolbook"/>
          <w:i/>
          <w:szCs w:val="22"/>
        </w:rPr>
        <w:t>Anecdotes philosophiques et théologiques de l’Antiquité aux Lumières.</w:t>
      </w:r>
      <w:r w:rsidRPr="00087CD5">
        <w:rPr>
          <w:rFonts w:ascii="Century Schoolbook" w:hAnsi="Century Schoolbook"/>
          <w:szCs w:val="22"/>
        </w:rPr>
        <w:t xml:space="preserve"> Actes du colloque organisé à Paris-Sorbonne les 22 et 23 octobre 2010, réunis par François Lecercle et Guillaume Navaud, Paris, Classiques Garnier, 2012, p. 87-104</w:t>
      </w:r>
    </w:p>
    <w:p w14:paraId="2FFD0853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Le roi est sujet de la loi de justice. Loi des dieux, loi des hommes chez Jean de Salisbury », B. </w:t>
      </w:r>
      <w:proofErr w:type="spellStart"/>
      <w:r w:rsidRPr="00087CD5">
        <w:rPr>
          <w:rFonts w:ascii="Century Schoolbook" w:hAnsi="Century Schoolbook"/>
          <w:szCs w:val="22"/>
        </w:rPr>
        <w:t>Ribémont</w:t>
      </w:r>
      <w:proofErr w:type="spellEnd"/>
      <w:r w:rsidRPr="00087CD5">
        <w:rPr>
          <w:rFonts w:ascii="Century Schoolbook" w:hAnsi="Century Schoolbook"/>
          <w:szCs w:val="22"/>
        </w:rPr>
        <w:t xml:space="preserve"> &amp; S. </w:t>
      </w:r>
      <w:proofErr w:type="spellStart"/>
      <w:r w:rsidRPr="00087CD5">
        <w:rPr>
          <w:rFonts w:ascii="Century Schoolbook" w:hAnsi="Century Schoolbook"/>
          <w:szCs w:val="22"/>
        </w:rPr>
        <w:t>Menegaldo</w:t>
      </w:r>
      <w:proofErr w:type="spellEnd"/>
      <w:r w:rsidRPr="00087CD5">
        <w:rPr>
          <w:rFonts w:ascii="Century Schoolbook" w:hAnsi="Century Schoolbook"/>
          <w:szCs w:val="22"/>
        </w:rPr>
        <w:t xml:space="preserve">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 xml:space="preserve">Le roi fontaine de justice. Pouvoir justicier et pouvoir royal au Moyen Âge et à la Renaissance, </w:t>
      </w:r>
      <w:proofErr w:type="spellStart"/>
      <w:r w:rsidRPr="00087CD5">
        <w:rPr>
          <w:rFonts w:ascii="Century Schoolbook" w:hAnsi="Century Schoolbook"/>
          <w:szCs w:val="22"/>
        </w:rPr>
        <w:t>Klinksieck</w:t>
      </w:r>
      <w:proofErr w:type="spellEnd"/>
      <w:r w:rsidRPr="00087CD5">
        <w:rPr>
          <w:rFonts w:ascii="Century Schoolbook" w:hAnsi="Century Schoolbook"/>
          <w:szCs w:val="22"/>
        </w:rPr>
        <w:t>, 2012, p. 85-103</w:t>
      </w:r>
    </w:p>
    <w:p w14:paraId="193526C1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Thought experiments in Late Debates on medieval atomism », in S. Roux &amp; K.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Ierodiakonou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(ed.), </w:t>
      </w:r>
      <w:r w:rsidRPr="00087CD5">
        <w:rPr>
          <w:rFonts w:ascii="Century Schoolbook" w:hAnsi="Century Schoolbook"/>
          <w:i/>
          <w:szCs w:val="22"/>
          <w:lang w:val="en-US"/>
        </w:rPr>
        <w:t>Thought Experiments in Methodological Contexts</w:t>
      </w:r>
      <w:r w:rsidRPr="00087CD5">
        <w:rPr>
          <w:rFonts w:ascii="Century Schoolbook" w:hAnsi="Century Schoolbook"/>
          <w:szCs w:val="22"/>
          <w:lang w:val="en-US"/>
        </w:rPr>
        <w:t>, Brill, Leiden – Boston, 2011, p. 65-79</w:t>
      </w:r>
    </w:p>
    <w:p w14:paraId="271C8259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  <w:lang w:val="en-US"/>
        </w:rPr>
      </w:pPr>
      <w:r w:rsidRPr="001F23B3">
        <w:rPr>
          <w:rFonts w:ascii="Century Schoolbook" w:hAnsi="Century Schoolbook"/>
          <w:szCs w:val="22"/>
          <w:lang w:val="en-US"/>
        </w:rPr>
        <w:t xml:space="preserve">« Academicus », </w:t>
      </w:r>
      <w:r w:rsidRPr="001F23B3">
        <w:rPr>
          <w:rFonts w:ascii="Century Schoolbook" w:hAnsi="Century Schoolbook"/>
          <w:i/>
          <w:szCs w:val="22"/>
          <w:lang w:val="en-US"/>
        </w:rPr>
        <w:t xml:space="preserve">Mots </w:t>
      </w:r>
      <w:proofErr w:type="spellStart"/>
      <w:r w:rsidRPr="001F23B3">
        <w:rPr>
          <w:rFonts w:ascii="Century Schoolbook" w:hAnsi="Century Schoolbook"/>
          <w:i/>
          <w:szCs w:val="22"/>
          <w:lang w:val="en-US"/>
        </w:rPr>
        <w:t>médiévaux</w:t>
      </w:r>
      <w:proofErr w:type="spellEnd"/>
      <w:r w:rsidRPr="001F23B3">
        <w:rPr>
          <w:rFonts w:ascii="Century Schoolbook" w:hAnsi="Century Schoolbook"/>
          <w:i/>
          <w:szCs w:val="22"/>
          <w:lang w:val="en-US"/>
        </w:rPr>
        <w:t xml:space="preserve"> </w:t>
      </w:r>
      <w:proofErr w:type="spellStart"/>
      <w:r w:rsidRPr="001F23B3">
        <w:rPr>
          <w:rFonts w:ascii="Century Schoolbook" w:hAnsi="Century Schoolbook"/>
          <w:i/>
          <w:szCs w:val="22"/>
          <w:lang w:val="en-US"/>
        </w:rPr>
        <w:t>offerts</w:t>
      </w:r>
      <w:proofErr w:type="spellEnd"/>
      <w:r w:rsidRPr="001F23B3">
        <w:rPr>
          <w:rFonts w:ascii="Century Schoolbook" w:hAnsi="Century Schoolbook"/>
          <w:i/>
          <w:szCs w:val="22"/>
          <w:lang w:val="en-US"/>
        </w:rPr>
        <w:t xml:space="preserve"> à Ruedi Imbach</w:t>
      </w:r>
      <w:r w:rsidRPr="001F23B3">
        <w:rPr>
          <w:rFonts w:ascii="Century Schoolbook" w:hAnsi="Century Schoolbook"/>
          <w:szCs w:val="22"/>
          <w:lang w:val="en-US"/>
        </w:rPr>
        <w:t xml:space="preserve">, </w:t>
      </w:r>
      <w:proofErr w:type="spellStart"/>
      <w:r w:rsidRPr="001F23B3">
        <w:rPr>
          <w:rFonts w:ascii="Century Schoolbook" w:hAnsi="Century Schoolbook"/>
          <w:szCs w:val="22"/>
          <w:lang w:val="en-US"/>
        </w:rPr>
        <w:t>Atucha</w:t>
      </w:r>
      <w:proofErr w:type="spellEnd"/>
      <w:r w:rsidRPr="001F23B3">
        <w:rPr>
          <w:rFonts w:ascii="Century Schoolbook" w:hAnsi="Century Schoolbook"/>
          <w:szCs w:val="22"/>
          <w:lang w:val="en-US"/>
        </w:rPr>
        <w:t xml:space="preserve">, I., Calma, D., König-Pralong, C., Zavaterro, I (dir.), Turnhout, </w:t>
      </w:r>
      <w:proofErr w:type="spellStart"/>
      <w:r w:rsidRPr="001F23B3">
        <w:rPr>
          <w:rFonts w:ascii="Century Schoolbook" w:hAnsi="Century Schoolbook"/>
          <w:szCs w:val="22"/>
          <w:lang w:val="en-US"/>
        </w:rPr>
        <w:t>Brepols</w:t>
      </w:r>
      <w:proofErr w:type="spellEnd"/>
      <w:r w:rsidRPr="001F23B3">
        <w:rPr>
          <w:rFonts w:ascii="Century Schoolbook" w:hAnsi="Century Schoolbook"/>
          <w:szCs w:val="22"/>
          <w:lang w:val="en-US"/>
        </w:rPr>
        <w:t>, 2011, p. 5-16</w:t>
      </w:r>
    </w:p>
    <w:p w14:paraId="0BC147B5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>« Argumentation topique et production de la croyance chez Jean de Salisbury », dans, J. Biard &amp; F. Mariani Zini (</w:t>
      </w:r>
      <w:proofErr w:type="spellStart"/>
      <w:r w:rsidRPr="00087CD5">
        <w:rPr>
          <w:rFonts w:ascii="Century Schoolbook" w:hAnsi="Century Schoolbook"/>
          <w:szCs w:val="22"/>
        </w:rPr>
        <w:t>éds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Le syllogisme topique de l’antiquité à l’âge classique</w:t>
      </w:r>
      <w:r w:rsidRPr="00087CD5">
        <w:rPr>
          <w:rFonts w:ascii="Century Schoolbook" w:hAnsi="Century Schoolbook"/>
          <w:szCs w:val="22"/>
        </w:rPr>
        <w:t xml:space="preserve">, Turnhout, </w:t>
      </w:r>
      <w:proofErr w:type="spellStart"/>
      <w:r w:rsidRPr="00087CD5">
        <w:rPr>
          <w:rFonts w:ascii="Century Schoolbook" w:hAnsi="Century Schoolbook"/>
          <w:szCs w:val="22"/>
        </w:rPr>
        <w:t>Brepols</w:t>
      </w:r>
      <w:proofErr w:type="spellEnd"/>
      <w:r w:rsidRPr="00087CD5">
        <w:rPr>
          <w:rFonts w:ascii="Century Schoolbook" w:hAnsi="Century Schoolbook"/>
          <w:szCs w:val="22"/>
        </w:rPr>
        <w:t>, 2010, p. 227-247</w:t>
      </w:r>
    </w:p>
    <w:p w14:paraId="10E8A726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 xml:space="preserve">« La réception médiévale du </w:t>
      </w:r>
      <w:r w:rsidRPr="00087CD5">
        <w:rPr>
          <w:rFonts w:ascii="Century Schoolbook" w:hAnsi="Century Schoolbook"/>
          <w:i/>
          <w:szCs w:val="22"/>
        </w:rPr>
        <w:t xml:space="preserve">De somno et </w:t>
      </w:r>
      <w:proofErr w:type="spellStart"/>
      <w:r w:rsidRPr="00087CD5">
        <w:rPr>
          <w:rFonts w:ascii="Century Schoolbook" w:hAnsi="Century Schoolbook"/>
          <w:i/>
          <w:szCs w:val="22"/>
        </w:rPr>
        <w:t>vigilia</w:t>
      </w:r>
      <w:proofErr w:type="spellEnd"/>
      <w:r w:rsidRPr="00087CD5">
        <w:rPr>
          <w:rFonts w:ascii="Century Schoolbook" w:hAnsi="Century Schoolbook"/>
          <w:szCs w:val="22"/>
        </w:rPr>
        <w:t xml:space="preserve">. Approches épistémologiques et anthropologiques du rêve d’Albert le Grand à Jean Buridan », </w:t>
      </w:r>
      <w:r w:rsidRPr="00087CD5">
        <w:rPr>
          <w:rFonts w:ascii="Century Schoolbook" w:hAnsi="Century Schoolbook"/>
          <w:i/>
          <w:szCs w:val="22"/>
        </w:rPr>
        <w:t xml:space="preserve">Les </w:t>
      </w:r>
      <w:proofErr w:type="spellStart"/>
      <w:r w:rsidRPr="00087CD5">
        <w:rPr>
          <w:rFonts w:ascii="Century Schoolbook" w:hAnsi="Century Schoolbook"/>
          <w:i/>
          <w:szCs w:val="22"/>
        </w:rPr>
        <w:t>Parva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Naturalia d’Aristote. Fortune antique et médiévale,</w:t>
      </w:r>
      <w:r w:rsidRPr="00087CD5">
        <w:rPr>
          <w:rFonts w:ascii="Century Schoolbook" w:hAnsi="Century Schoolbook"/>
          <w:szCs w:val="22"/>
        </w:rPr>
        <w:t xml:space="preserve"> P.M. Morel et C. Grellard (</w:t>
      </w:r>
      <w:proofErr w:type="spellStart"/>
      <w:r w:rsidRPr="00087CD5">
        <w:rPr>
          <w:rFonts w:ascii="Century Schoolbook" w:hAnsi="Century Schoolbook"/>
          <w:szCs w:val="22"/>
        </w:rPr>
        <w:t>éds</w:t>
      </w:r>
      <w:proofErr w:type="spellEnd"/>
      <w:r w:rsidRPr="00087CD5">
        <w:rPr>
          <w:rFonts w:ascii="Century Schoolbook" w:hAnsi="Century Schoolbook"/>
          <w:szCs w:val="22"/>
        </w:rPr>
        <w:t>.), Publications de la Sorbonne, 2010, p. 221-237</w:t>
      </w:r>
    </w:p>
    <w:p w14:paraId="48611FB7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Nicholas of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Autrecourt’s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Skepticism: The Ambivalence of Medieval Epistemology », </w:t>
      </w:r>
      <w:r w:rsidRPr="00087CD5">
        <w:rPr>
          <w:rFonts w:ascii="Century Schoolbook" w:hAnsi="Century Schoolbook"/>
          <w:i/>
          <w:szCs w:val="22"/>
          <w:lang w:val="en-US"/>
        </w:rPr>
        <w:t xml:space="preserve">Rethinking the History of </w:t>
      </w:r>
      <w:proofErr w:type="gramStart"/>
      <w:r w:rsidRPr="00087CD5">
        <w:rPr>
          <w:rFonts w:ascii="Century Schoolbook" w:hAnsi="Century Schoolbook"/>
          <w:i/>
          <w:szCs w:val="22"/>
          <w:lang w:val="en-US"/>
        </w:rPr>
        <w:t>Skepticism :</w:t>
      </w:r>
      <w:proofErr w:type="gramEnd"/>
      <w:r w:rsidRPr="00087CD5">
        <w:rPr>
          <w:rFonts w:ascii="Century Schoolbook" w:hAnsi="Century Schoolbook"/>
          <w:i/>
          <w:szCs w:val="22"/>
          <w:lang w:val="en-US"/>
        </w:rPr>
        <w:t xml:space="preserve"> The Missing Medieval Background</w:t>
      </w:r>
      <w:r w:rsidRPr="00087CD5">
        <w:rPr>
          <w:rFonts w:ascii="Century Schoolbook" w:hAnsi="Century Schoolbook"/>
          <w:szCs w:val="22"/>
          <w:lang w:val="en-US"/>
        </w:rPr>
        <w:t xml:space="preserve">, ed. </w:t>
      </w:r>
      <w:r w:rsidRPr="00087CD5">
        <w:rPr>
          <w:rFonts w:ascii="Century Schoolbook" w:hAnsi="Century Schoolbook"/>
          <w:szCs w:val="22"/>
        </w:rPr>
        <w:t xml:space="preserve">H. </w:t>
      </w:r>
      <w:proofErr w:type="spellStart"/>
      <w:r w:rsidRPr="00087CD5">
        <w:rPr>
          <w:rFonts w:ascii="Century Schoolbook" w:hAnsi="Century Schoolbook"/>
          <w:szCs w:val="22"/>
        </w:rPr>
        <w:t>Lagerlund</w:t>
      </w:r>
      <w:proofErr w:type="spellEnd"/>
      <w:r w:rsidRPr="00087CD5">
        <w:rPr>
          <w:rFonts w:ascii="Century Schoolbook" w:hAnsi="Century Schoolbook"/>
          <w:szCs w:val="22"/>
        </w:rPr>
        <w:t xml:space="preserve">, Brill, Leiden – </w:t>
      </w:r>
      <w:proofErr w:type="spellStart"/>
      <w:r w:rsidRPr="00087CD5">
        <w:rPr>
          <w:rFonts w:ascii="Century Schoolbook" w:hAnsi="Century Schoolbook"/>
          <w:szCs w:val="22"/>
        </w:rPr>
        <w:t>Köln</w:t>
      </w:r>
      <w:proofErr w:type="spellEnd"/>
      <w:r w:rsidRPr="00087CD5">
        <w:rPr>
          <w:rFonts w:ascii="Century Schoolbook" w:hAnsi="Century Schoolbook"/>
          <w:szCs w:val="22"/>
        </w:rPr>
        <w:t xml:space="preserve"> – Boston, 2010, p. 119-142</w:t>
      </w:r>
    </w:p>
    <w:p w14:paraId="510A9130" w14:textId="77777777" w:rsidR="00C27822" w:rsidRPr="001F23B3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  <w:lang w:val="en-US"/>
        </w:rPr>
      </w:pPr>
      <w:r w:rsidRPr="00087CD5">
        <w:rPr>
          <w:rFonts w:ascii="Century Schoolbook" w:hAnsi="Century Schoolbook"/>
          <w:szCs w:val="22"/>
          <w:lang w:val="en-US"/>
        </w:rPr>
        <w:t xml:space="preserve">« Nicholas of </w:t>
      </w:r>
      <w:proofErr w:type="spellStart"/>
      <w:r w:rsidRPr="00087CD5">
        <w:rPr>
          <w:rFonts w:ascii="Century Schoolbook" w:hAnsi="Century Schoolbook"/>
          <w:szCs w:val="22"/>
          <w:lang w:val="en-US"/>
        </w:rPr>
        <w:t>Autrecourt’s</w:t>
      </w:r>
      <w:proofErr w:type="spellEnd"/>
      <w:r w:rsidRPr="00087CD5">
        <w:rPr>
          <w:rFonts w:ascii="Century Schoolbook" w:hAnsi="Century Schoolbook"/>
          <w:szCs w:val="22"/>
          <w:lang w:val="en-US"/>
        </w:rPr>
        <w:t xml:space="preserve"> Atomistic Physics », in C. Grellard &amp; A. Robert (eds.), </w:t>
      </w:r>
      <w:r w:rsidRPr="00087CD5">
        <w:rPr>
          <w:rFonts w:ascii="Century Schoolbook" w:hAnsi="Century Schoolbook"/>
          <w:i/>
          <w:szCs w:val="22"/>
          <w:lang w:val="en-US"/>
        </w:rPr>
        <w:t>Atomism in Late Medieval Philosophy and Theology</w:t>
      </w:r>
      <w:r w:rsidRPr="00087CD5">
        <w:rPr>
          <w:rFonts w:ascii="Century Schoolbook" w:hAnsi="Century Schoolbook"/>
          <w:szCs w:val="22"/>
          <w:lang w:val="en-US"/>
        </w:rPr>
        <w:t>, Brill, Leiden-Boston, 2009, p. 105-126</w:t>
      </w:r>
    </w:p>
    <w:p w14:paraId="1D70B2E2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eastAsia="MS Mincho" w:hAnsi="Century Schoolbook"/>
          <w:szCs w:val="22"/>
          <w:u w:val="single"/>
        </w:rPr>
      </w:pPr>
      <w:r w:rsidRPr="00087CD5">
        <w:rPr>
          <w:rFonts w:ascii="Century Schoolbook" w:hAnsi="Century Schoolbook"/>
          <w:szCs w:val="22"/>
        </w:rPr>
        <w:t>« La monarchie universelle : une fiction poétique ? La critique de Dante par Oresme », in J. Biard &amp; F. Mariani-Zini (</w:t>
      </w:r>
      <w:proofErr w:type="spellStart"/>
      <w:r w:rsidRPr="00087CD5">
        <w:rPr>
          <w:rFonts w:ascii="Century Schoolbook" w:hAnsi="Century Schoolbook"/>
          <w:szCs w:val="22"/>
        </w:rPr>
        <w:t>éds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 xml:space="preserve">Ut </w:t>
      </w:r>
      <w:proofErr w:type="spellStart"/>
      <w:r w:rsidRPr="00087CD5">
        <w:rPr>
          <w:rFonts w:ascii="Century Schoolbook" w:hAnsi="Century Schoolbook"/>
          <w:i/>
          <w:szCs w:val="22"/>
        </w:rPr>
        <w:t>philosophia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</w:t>
      </w:r>
      <w:proofErr w:type="spellStart"/>
      <w:r w:rsidRPr="00087CD5">
        <w:rPr>
          <w:rFonts w:ascii="Century Schoolbook" w:hAnsi="Century Schoolbook"/>
          <w:i/>
          <w:szCs w:val="22"/>
        </w:rPr>
        <w:t>poesis</w:t>
      </w:r>
      <w:proofErr w:type="spellEnd"/>
      <w:r w:rsidRPr="00087CD5">
        <w:rPr>
          <w:rFonts w:ascii="Century Schoolbook" w:hAnsi="Century Schoolbook"/>
          <w:i/>
          <w:szCs w:val="22"/>
        </w:rPr>
        <w:t>. Questions philosophiques dans l’œuvre de Dante, Pétrarque et Boccace</w:t>
      </w:r>
      <w:r w:rsidRPr="00087CD5">
        <w:rPr>
          <w:rFonts w:ascii="Century Schoolbook" w:hAnsi="Century Schoolbook"/>
          <w:szCs w:val="22"/>
        </w:rPr>
        <w:t>, Paris, Vrin, 2008, p. 53-73</w:t>
      </w:r>
    </w:p>
    <w:p w14:paraId="078B56C8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 xml:space="preserve">« Le sacré et le profane. Le statut des laïcs dans la </w:t>
      </w:r>
      <w:proofErr w:type="spellStart"/>
      <w:r w:rsidRPr="00087CD5">
        <w:rPr>
          <w:rFonts w:ascii="Century Schoolbook" w:hAnsi="Century Schoolbook"/>
          <w:i/>
          <w:szCs w:val="22"/>
        </w:rPr>
        <w:t>Respublica</w:t>
      </w:r>
      <w:proofErr w:type="spellEnd"/>
      <w:r w:rsidRPr="00087CD5">
        <w:rPr>
          <w:rFonts w:ascii="Century Schoolbook" w:hAnsi="Century Schoolbook"/>
          <w:szCs w:val="22"/>
        </w:rPr>
        <w:t xml:space="preserve"> de Jean de Salisbury », in P. Demouy (éd.), </w:t>
      </w:r>
      <w:r w:rsidRPr="00087CD5">
        <w:rPr>
          <w:rFonts w:ascii="Century Schoolbook" w:hAnsi="Century Schoolbook"/>
          <w:i/>
          <w:szCs w:val="22"/>
        </w:rPr>
        <w:t>Les laïcs dans les villes de la France du Nord au xii siècle</w:t>
      </w:r>
      <w:r w:rsidRPr="00087CD5">
        <w:rPr>
          <w:rFonts w:ascii="Century Schoolbook" w:hAnsi="Century Schoolbook"/>
          <w:szCs w:val="22"/>
        </w:rPr>
        <w:t xml:space="preserve">, « Rencontres médiévales européennes », 8, </w:t>
      </w:r>
      <w:proofErr w:type="spellStart"/>
      <w:r w:rsidRPr="00087CD5">
        <w:rPr>
          <w:rFonts w:ascii="Century Schoolbook" w:hAnsi="Century Schoolbook"/>
          <w:szCs w:val="22"/>
        </w:rPr>
        <w:t>Brepols</w:t>
      </w:r>
      <w:proofErr w:type="spellEnd"/>
      <w:r w:rsidRPr="00087CD5">
        <w:rPr>
          <w:rFonts w:ascii="Century Schoolbook" w:hAnsi="Century Schoolbook"/>
          <w:szCs w:val="22"/>
        </w:rPr>
        <w:t>, Turnhout, 2008, p. 167-187</w:t>
      </w:r>
    </w:p>
    <w:p w14:paraId="078CDF7F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lastRenderedPageBreak/>
        <w:t xml:space="preserve">« Nicolas Drukken de Dacie, entre </w:t>
      </w:r>
      <w:proofErr w:type="spellStart"/>
      <w:r w:rsidRPr="00087CD5">
        <w:rPr>
          <w:rFonts w:ascii="Century Schoolbook" w:hAnsi="Century Schoolbook"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 et Buridan. Logique et théorie de la connaissance à la fin des années 1330 », </w:t>
      </w:r>
      <w:r w:rsidRPr="00087CD5">
        <w:rPr>
          <w:rFonts w:ascii="Century Schoolbook" w:hAnsi="Century Schoolbook"/>
          <w:i/>
          <w:szCs w:val="22"/>
        </w:rPr>
        <w:t>Nicolas d’</w:t>
      </w:r>
      <w:proofErr w:type="spellStart"/>
      <w:r w:rsidRPr="00087CD5">
        <w:rPr>
          <w:rFonts w:ascii="Century Schoolbook" w:hAnsi="Century Schoolbook"/>
          <w:i/>
          <w:szCs w:val="22"/>
        </w:rPr>
        <w:t>Autrécourt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et la Faculté des arts de Paris (1317-1340, Actes du colloque de Paris I, 19-21 mai 2005</w:t>
      </w:r>
      <w:r w:rsidRPr="00087CD5">
        <w:rPr>
          <w:rFonts w:ascii="Century Schoolbook" w:hAnsi="Century Schoolbook"/>
          <w:szCs w:val="22"/>
        </w:rPr>
        <w:t xml:space="preserve"> édités par S. </w:t>
      </w:r>
      <w:proofErr w:type="spellStart"/>
      <w:r w:rsidRPr="00087CD5">
        <w:rPr>
          <w:rFonts w:ascii="Century Schoolbook" w:hAnsi="Century Schoolbook"/>
          <w:szCs w:val="22"/>
        </w:rPr>
        <w:t>Caroti</w:t>
      </w:r>
      <w:proofErr w:type="spellEnd"/>
      <w:r w:rsidRPr="00087CD5">
        <w:rPr>
          <w:rFonts w:ascii="Century Schoolbook" w:hAnsi="Century Schoolbook"/>
          <w:szCs w:val="22"/>
        </w:rPr>
        <w:t xml:space="preserve"> et C. Grellard, </w:t>
      </w:r>
      <w:proofErr w:type="spellStart"/>
      <w:r w:rsidRPr="00087CD5">
        <w:rPr>
          <w:rFonts w:ascii="Century Schoolbook" w:hAnsi="Century Schoolbook"/>
          <w:szCs w:val="22"/>
        </w:rPr>
        <w:t>Quadrerni</w:t>
      </w:r>
      <w:proofErr w:type="spellEnd"/>
      <w:r w:rsidRPr="00087CD5">
        <w:rPr>
          <w:rFonts w:ascii="Century Schoolbook" w:hAnsi="Century Schoolbook"/>
          <w:szCs w:val="22"/>
        </w:rPr>
        <w:t xml:space="preserve"> di </w:t>
      </w:r>
      <w:proofErr w:type="spellStart"/>
      <w:r w:rsidRPr="00087CD5">
        <w:rPr>
          <w:rFonts w:ascii="Century Schoolbook" w:hAnsi="Century Schoolbook"/>
          <w:szCs w:val="22"/>
        </w:rPr>
        <w:t>Paideia</w:t>
      </w:r>
      <w:proofErr w:type="spellEnd"/>
      <w:r w:rsidRPr="00087CD5">
        <w:rPr>
          <w:rFonts w:ascii="Century Schoolbook" w:hAnsi="Century Schoolbook"/>
          <w:szCs w:val="22"/>
        </w:rPr>
        <w:t xml:space="preserve">, Cesena, 2006 p. 153-174 </w:t>
      </w:r>
    </w:p>
    <w:p w14:paraId="4266BE63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>« Nicolas d’</w:t>
      </w:r>
      <w:proofErr w:type="spellStart"/>
      <w:r w:rsidRPr="00087CD5">
        <w:rPr>
          <w:rFonts w:ascii="Century Schoolbook" w:hAnsi="Century Schoolbook"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, </w:t>
      </w:r>
      <w:r w:rsidRPr="00087CD5">
        <w:rPr>
          <w:rFonts w:ascii="Century Schoolbook" w:hAnsi="Century Schoolbook"/>
          <w:i/>
          <w:szCs w:val="22"/>
        </w:rPr>
        <w:t>Traité utile, Les indivisibles</w:t>
      </w:r>
      <w:r w:rsidRPr="00087CD5">
        <w:rPr>
          <w:rFonts w:ascii="Century Schoolbook" w:hAnsi="Century Schoolbook"/>
          <w:szCs w:val="22"/>
        </w:rPr>
        <w:t xml:space="preserve"> », introduction et traduction, dans J. Biard et J. </w:t>
      </w:r>
      <w:proofErr w:type="spellStart"/>
      <w:r w:rsidRPr="00087CD5">
        <w:rPr>
          <w:rFonts w:ascii="Century Schoolbook" w:hAnsi="Century Schoolbook"/>
          <w:szCs w:val="22"/>
        </w:rPr>
        <w:t>Celeyrette</w:t>
      </w:r>
      <w:proofErr w:type="spellEnd"/>
      <w:r w:rsidRPr="00087CD5">
        <w:rPr>
          <w:rFonts w:ascii="Century Schoolbook" w:hAnsi="Century Schoolbook"/>
          <w:szCs w:val="22"/>
        </w:rPr>
        <w:t xml:space="preserve"> (</w:t>
      </w:r>
      <w:proofErr w:type="spellStart"/>
      <w:r w:rsidRPr="00087CD5">
        <w:rPr>
          <w:rFonts w:ascii="Century Schoolbook" w:hAnsi="Century Schoolbook"/>
          <w:szCs w:val="22"/>
        </w:rPr>
        <w:t>dir</w:t>
      </w:r>
      <w:proofErr w:type="spellEnd"/>
      <w:r w:rsidRPr="00087CD5">
        <w:rPr>
          <w:rFonts w:ascii="Century Schoolbook" w:hAnsi="Century Schoolbook"/>
          <w:szCs w:val="22"/>
        </w:rPr>
        <w:t xml:space="preserve">.), </w:t>
      </w:r>
      <w:r w:rsidRPr="00087CD5">
        <w:rPr>
          <w:rFonts w:ascii="Century Schoolbook" w:hAnsi="Century Schoolbook"/>
          <w:i/>
          <w:szCs w:val="22"/>
        </w:rPr>
        <w:t>De la théologie aux mathématiques. L’infini au XIV</w:t>
      </w:r>
      <w:r w:rsidRPr="00087CD5">
        <w:rPr>
          <w:rFonts w:ascii="Century Schoolbook" w:hAnsi="Century Schoolbook"/>
          <w:i/>
          <w:szCs w:val="22"/>
          <w:vertAlign w:val="superscript"/>
        </w:rPr>
        <w:t>e</w:t>
      </w:r>
      <w:r w:rsidRPr="00087CD5">
        <w:rPr>
          <w:rFonts w:ascii="Century Schoolbook" w:hAnsi="Century Schoolbook"/>
          <w:i/>
          <w:szCs w:val="22"/>
        </w:rPr>
        <w:t xml:space="preserve"> siècle,</w:t>
      </w:r>
      <w:r w:rsidRPr="00087CD5">
        <w:rPr>
          <w:rFonts w:ascii="Century Schoolbook" w:hAnsi="Century Schoolbook"/>
          <w:szCs w:val="22"/>
        </w:rPr>
        <w:t xml:space="preserve"> Les Belles Lettres, Paris, 2005, p. 137-176</w:t>
      </w:r>
    </w:p>
    <w:p w14:paraId="7AA2BF17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 xml:space="preserve">« L’usage des nouveaux langages d’analyse dans la </w:t>
      </w:r>
      <w:proofErr w:type="spellStart"/>
      <w:r w:rsidRPr="00087CD5">
        <w:rPr>
          <w:rFonts w:ascii="Century Schoolbook" w:hAnsi="Century Schoolbook"/>
          <w:i/>
          <w:szCs w:val="22"/>
        </w:rPr>
        <w:t>Quaestio</w:t>
      </w:r>
      <w:proofErr w:type="spellEnd"/>
      <w:r w:rsidRPr="00087CD5">
        <w:rPr>
          <w:rFonts w:ascii="Century Schoolbook" w:hAnsi="Century Schoolbook"/>
          <w:szCs w:val="22"/>
        </w:rPr>
        <w:t xml:space="preserve"> de Nicolas d’</w:t>
      </w:r>
      <w:proofErr w:type="spellStart"/>
      <w:r w:rsidRPr="00087CD5">
        <w:rPr>
          <w:rFonts w:ascii="Century Schoolbook" w:hAnsi="Century Schoolbook"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. Contribution à la théorie </w:t>
      </w:r>
      <w:proofErr w:type="spellStart"/>
      <w:r w:rsidRPr="00087CD5">
        <w:rPr>
          <w:rFonts w:ascii="Century Schoolbook" w:hAnsi="Century Schoolbook"/>
          <w:szCs w:val="22"/>
        </w:rPr>
        <w:t>autrécurienne</w:t>
      </w:r>
      <w:proofErr w:type="spellEnd"/>
      <w:r w:rsidRPr="00087CD5">
        <w:rPr>
          <w:rFonts w:ascii="Century Schoolbook" w:hAnsi="Century Schoolbook"/>
          <w:szCs w:val="22"/>
        </w:rPr>
        <w:t xml:space="preserve"> de la connaissance », in J. </w:t>
      </w:r>
      <w:proofErr w:type="spellStart"/>
      <w:r w:rsidRPr="00087CD5">
        <w:rPr>
          <w:rFonts w:ascii="Century Schoolbook" w:hAnsi="Century Schoolbook"/>
          <w:szCs w:val="22"/>
        </w:rPr>
        <w:t>Celeyrette</w:t>
      </w:r>
      <w:proofErr w:type="spellEnd"/>
      <w:r w:rsidRPr="00087CD5">
        <w:rPr>
          <w:rFonts w:ascii="Century Schoolbook" w:hAnsi="Century Schoolbook"/>
          <w:szCs w:val="22"/>
        </w:rPr>
        <w:t xml:space="preserve"> &amp; S. </w:t>
      </w:r>
      <w:proofErr w:type="spellStart"/>
      <w:r w:rsidRPr="00087CD5">
        <w:rPr>
          <w:rFonts w:ascii="Century Schoolbook" w:hAnsi="Century Schoolbook"/>
          <w:szCs w:val="22"/>
        </w:rPr>
        <w:t>Caroti</w:t>
      </w:r>
      <w:proofErr w:type="spellEnd"/>
      <w:r w:rsidRPr="00087CD5">
        <w:rPr>
          <w:rFonts w:ascii="Century Schoolbook" w:hAnsi="Century Schoolbook"/>
          <w:szCs w:val="22"/>
        </w:rPr>
        <w:t xml:space="preserve"> (éd.), </w:t>
      </w:r>
      <w:r w:rsidRPr="00087CD5">
        <w:rPr>
          <w:rFonts w:ascii="Century Schoolbook" w:hAnsi="Century Schoolbook"/>
          <w:i/>
          <w:szCs w:val="22"/>
        </w:rPr>
        <w:t xml:space="preserve">Quia inter </w:t>
      </w:r>
      <w:proofErr w:type="spellStart"/>
      <w:r w:rsidRPr="00087CD5">
        <w:rPr>
          <w:rFonts w:ascii="Century Schoolbook" w:hAnsi="Century Schoolbook"/>
          <w:i/>
          <w:szCs w:val="22"/>
        </w:rPr>
        <w:t>doctores</w:t>
      </w:r>
      <w:proofErr w:type="spellEnd"/>
      <w:r w:rsidRPr="00087CD5">
        <w:rPr>
          <w:rFonts w:ascii="Century Schoolbook" w:hAnsi="Century Schoolbook"/>
          <w:i/>
          <w:szCs w:val="22"/>
        </w:rPr>
        <w:t xml:space="preserve"> erat magna </w:t>
      </w:r>
      <w:proofErr w:type="spellStart"/>
      <w:r w:rsidRPr="00087CD5">
        <w:rPr>
          <w:rFonts w:ascii="Century Schoolbook" w:hAnsi="Century Schoolbook"/>
          <w:i/>
          <w:szCs w:val="22"/>
        </w:rPr>
        <w:t>dissensio</w:t>
      </w:r>
      <w:proofErr w:type="spellEnd"/>
      <w:r w:rsidRPr="00087CD5">
        <w:rPr>
          <w:rFonts w:ascii="Century Schoolbook" w:hAnsi="Century Schoolbook"/>
          <w:i/>
          <w:szCs w:val="22"/>
        </w:rPr>
        <w:t>. Les débats de philosophie naturelle à Paris au XIVe siècle</w:t>
      </w:r>
      <w:r w:rsidRPr="00087CD5">
        <w:rPr>
          <w:rFonts w:ascii="Century Schoolbook" w:hAnsi="Century Schoolbook"/>
          <w:szCs w:val="22"/>
        </w:rPr>
        <w:t xml:space="preserve">, L. </w:t>
      </w:r>
      <w:proofErr w:type="spellStart"/>
      <w:r w:rsidRPr="00087CD5">
        <w:rPr>
          <w:rFonts w:ascii="Century Schoolbook" w:hAnsi="Century Schoolbook"/>
          <w:szCs w:val="22"/>
        </w:rPr>
        <w:t>Olschki</w:t>
      </w:r>
      <w:proofErr w:type="spellEnd"/>
      <w:r w:rsidRPr="00087CD5">
        <w:rPr>
          <w:rFonts w:ascii="Century Schoolbook" w:hAnsi="Century Schoolbook"/>
          <w:szCs w:val="22"/>
        </w:rPr>
        <w:t xml:space="preserve">, Florence, 2004, p. 69-95 </w:t>
      </w:r>
    </w:p>
    <w:p w14:paraId="5089E178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>« Les présupposés méthodologiques de l’atomisme : la théorie du continu chez Nicolas d’</w:t>
      </w:r>
      <w:proofErr w:type="spellStart"/>
      <w:r w:rsidRPr="00087CD5">
        <w:rPr>
          <w:rFonts w:ascii="Century Schoolbook" w:hAnsi="Century Schoolbook"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 et Nicolas Bonet », in C. Grellard (éd.), </w:t>
      </w:r>
      <w:r w:rsidRPr="00087CD5">
        <w:rPr>
          <w:rFonts w:ascii="Century Schoolbook" w:hAnsi="Century Schoolbook"/>
          <w:i/>
          <w:szCs w:val="22"/>
        </w:rPr>
        <w:t>Méthodes et statut des sciences à la fin du moyen âge</w:t>
      </w:r>
      <w:r w:rsidRPr="00087CD5">
        <w:rPr>
          <w:rFonts w:ascii="Century Schoolbook" w:hAnsi="Century Schoolbook"/>
          <w:szCs w:val="22"/>
        </w:rPr>
        <w:t xml:space="preserve">, Lille : Presses Universitaires du Septentrion, 2004, p. 181-199 </w:t>
      </w:r>
    </w:p>
    <w:p w14:paraId="549BAC35" w14:textId="77777777" w:rsidR="00C27822" w:rsidRPr="00087CD5" w:rsidRDefault="00C27822" w:rsidP="00C27822">
      <w:pPr>
        <w:pStyle w:val="Paragraphedeliste"/>
        <w:numPr>
          <w:ilvl w:val="0"/>
          <w:numId w:val="6"/>
        </w:numPr>
        <w:spacing w:line="240" w:lineRule="auto"/>
        <w:rPr>
          <w:rFonts w:ascii="Century Schoolbook" w:hAnsi="Century Schoolbook"/>
          <w:szCs w:val="22"/>
        </w:rPr>
      </w:pPr>
      <w:r w:rsidRPr="00087CD5">
        <w:rPr>
          <w:rFonts w:ascii="Century Schoolbook" w:hAnsi="Century Schoolbook"/>
          <w:szCs w:val="22"/>
        </w:rPr>
        <w:t>« Amour de soi, amour du prochain. Nicolas d’</w:t>
      </w:r>
      <w:proofErr w:type="spellStart"/>
      <w:r w:rsidRPr="00087CD5">
        <w:rPr>
          <w:rFonts w:ascii="Century Schoolbook" w:hAnsi="Century Schoolbook"/>
          <w:szCs w:val="22"/>
        </w:rPr>
        <w:t>Autrécourt</w:t>
      </w:r>
      <w:proofErr w:type="spellEnd"/>
      <w:r w:rsidRPr="00087CD5">
        <w:rPr>
          <w:rFonts w:ascii="Century Schoolbook" w:hAnsi="Century Schoolbook"/>
          <w:szCs w:val="22"/>
        </w:rPr>
        <w:t xml:space="preserve">, Jean Buridan et l’idée d’une morale laïque (autour de l’article condamné n°66) », dans, P. Bakker, E. Faye, C. Grellard (éd.), </w:t>
      </w:r>
      <w:r w:rsidRPr="00087CD5">
        <w:rPr>
          <w:rFonts w:ascii="Century Schoolbook" w:hAnsi="Century Schoolbook"/>
          <w:i/>
          <w:szCs w:val="22"/>
        </w:rPr>
        <w:t>Chemins de la pensée médiévale</w:t>
      </w:r>
      <w:r w:rsidRPr="00087CD5">
        <w:rPr>
          <w:rFonts w:ascii="Century Schoolbook" w:hAnsi="Century Schoolbook"/>
          <w:szCs w:val="22"/>
        </w:rPr>
        <w:t xml:space="preserve">. Études offertes à Zénon Kaluza, Turnhout : </w:t>
      </w:r>
      <w:proofErr w:type="spellStart"/>
      <w:r w:rsidRPr="00087CD5">
        <w:rPr>
          <w:rFonts w:ascii="Century Schoolbook" w:hAnsi="Century Schoolbook"/>
          <w:szCs w:val="22"/>
        </w:rPr>
        <w:t>Brepols</w:t>
      </w:r>
      <w:proofErr w:type="spellEnd"/>
      <w:r w:rsidRPr="00087CD5">
        <w:rPr>
          <w:rFonts w:ascii="Century Schoolbook" w:hAnsi="Century Schoolbook"/>
          <w:szCs w:val="22"/>
        </w:rPr>
        <w:t xml:space="preserve">, 2002, p. 215-251 </w:t>
      </w:r>
    </w:p>
    <w:p w14:paraId="732A5181" w14:textId="77777777" w:rsidR="00C27822" w:rsidRPr="00087CD5" w:rsidRDefault="00C27822" w:rsidP="00C27822">
      <w:pPr>
        <w:spacing w:line="240" w:lineRule="auto"/>
        <w:rPr>
          <w:rFonts w:ascii="Century Schoolbook" w:hAnsi="Century Schoolbook"/>
        </w:rPr>
      </w:pPr>
    </w:p>
    <w:p w14:paraId="3985C36A" w14:textId="77777777" w:rsidR="00C27822" w:rsidRDefault="00C27822" w:rsidP="00C27822"/>
    <w:p w14:paraId="5BA69598" w14:textId="77777777" w:rsidR="000B5F51" w:rsidRDefault="000B5F51"/>
    <w:sectPr w:rsidR="000B5F51" w:rsidSect="00C27822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(Corps CS)">
    <w:altName w:val="Times New Roman"/>
    <w:panose1 w:val="020206030504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1431245242"/>
      <w:docPartObj>
        <w:docPartGallery w:val="Page Numbers (Bottom of Page)"/>
        <w:docPartUnique/>
      </w:docPartObj>
    </w:sdtPr>
    <w:sdtContent>
      <w:p w14:paraId="3D986A98" w14:textId="77777777" w:rsidR="00C27822" w:rsidRDefault="00C27822" w:rsidP="00236234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B3E10ED" w14:textId="77777777" w:rsidR="00C27822" w:rsidRDefault="00C2782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9504572"/>
      <w:docPartObj>
        <w:docPartGallery w:val="Page Numbers (Bottom of Page)"/>
        <w:docPartUnique/>
      </w:docPartObj>
    </w:sdtPr>
    <w:sdtContent>
      <w:p w14:paraId="4E210D1C" w14:textId="77777777" w:rsidR="00C27822" w:rsidRDefault="00C27822" w:rsidP="00236234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500D1D2" w14:textId="77777777" w:rsidR="00C27822" w:rsidRDefault="00C27822">
    <w:pPr>
      <w:pStyle w:val="Pieddepag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BD22A8"/>
    <w:multiLevelType w:val="hybridMultilevel"/>
    <w:tmpl w:val="D954F7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016F7"/>
    <w:multiLevelType w:val="hybridMultilevel"/>
    <w:tmpl w:val="4522B27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55FE4"/>
    <w:multiLevelType w:val="hybridMultilevel"/>
    <w:tmpl w:val="363E575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6118C"/>
    <w:multiLevelType w:val="hybridMultilevel"/>
    <w:tmpl w:val="0B24E7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D2267"/>
    <w:multiLevelType w:val="hybridMultilevel"/>
    <w:tmpl w:val="76FE53D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87E54"/>
    <w:multiLevelType w:val="hybridMultilevel"/>
    <w:tmpl w:val="4016DA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767275">
    <w:abstractNumId w:val="5"/>
  </w:num>
  <w:num w:numId="2" w16cid:durableId="518738071">
    <w:abstractNumId w:val="1"/>
  </w:num>
  <w:num w:numId="3" w16cid:durableId="123305908">
    <w:abstractNumId w:val="0"/>
  </w:num>
  <w:num w:numId="4" w16cid:durableId="1653174795">
    <w:abstractNumId w:val="4"/>
  </w:num>
  <w:num w:numId="5" w16cid:durableId="1242177289">
    <w:abstractNumId w:val="2"/>
  </w:num>
  <w:num w:numId="6" w16cid:durableId="7277992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22"/>
    <w:rsid w:val="000161D8"/>
    <w:rsid w:val="000B5F51"/>
    <w:rsid w:val="00121485"/>
    <w:rsid w:val="00145C7D"/>
    <w:rsid w:val="001706A8"/>
    <w:rsid w:val="001A681C"/>
    <w:rsid w:val="002165E8"/>
    <w:rsid w:val="00593BB1"/>
    <w:rsid w:val="00624EE6"/>
    <w:rsid w:val="0062686A"/>
    <w:rsid w:val="006426EC"/>
    <w:rsid w:val="00660CC6"/>
    <w:rsid w:val="006748D6"/>
    <w:rsid w:val="006827D7"/>
    <w:rsid w:val="006E0F55"/>
    <w:rsid w:val="007D349A"/>
    <w:rsid w:val="00841C71"/>
    <w:rsid w:val="00983A10"/>
    <w:rsid w:val="009D331A"/>
    <w:rsid w:val="00A61AC7"/>
    <w:rsid w:val="00AA353E"/>
    <w:rsid w:val="00AA4273"/>
    <w:rsid w:val="00BF7883"/>
    <w:rsid w:val="00C27822"/>
    <w:rsid w:val="00C6413B"/>
    <w:rsid w:val="00D15D73"/>
    <w:rsid w:val="00D83018"/>
    <w:rsid w:val="00D83247"/>
    <w:rsid w:val="00E71699"/>
    <w:rsid w:val="00E75C5D"/>
    <w:rsid w:val="00EA33D3"/>
    <w:rsid w:val="00EB4ABE"/>
    <w:rsid w:val="00F57FCC"/>
    <w:rsid w:val="00F96B8F"/>
    <w:rsid w:val="00FD4254"/>
    <w:rsid w:val="00FE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1025DC"/>
  <w15:chartTrackingRefBased/>
  <w15:docId w15:val="{54555749-46DF-A642-B9C9-D8A72306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27822"/>
    <w:pPr>
      <w:spacing w:line="360" w:lineRule="auto"/>
      <w:jc w:val="both"/>
    </w:pPr>
    <w:rPr>
      <w:rFonts w:ascii="Times New Roman" w:hAnsi="Times New Roman"/>
      <w:kern w:val="0"/>
      <w:sz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27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7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78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78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78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78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78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78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78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624EE6"/>
    <w:pPr>
      <w:spacing w:before="240" w:after="240"/>
      <w:ind w:left="284" w:right="284"/>
    </w:pPr>
    <w:rPr>
      <w:rFonts w:cs="Times New Roman"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624EE6"/>
    <w:rPr>
      <w:rFonts w:ascii="Times New Roman" w:hAnsi="Times New Roman" w:cs="Times New Roman"/>
      <w:iCs/>
      <w:color w:val="000000" w:themeColor="text1"/>
      <w:sz w:val="22"/>
    </w:rPr>
  </w:style>
  <w:style w:type="paragraph" w:customStyle="1" w:styleId="Style1">
    <w:name w:val="Style1"/>
    <w:basedOn w:val="Citation"/>
    <w:autoRedefine/>
    <w:qFormat/>
    <w:rsid w:val="00624EE6"/>
  </w:style>
  <w:style w:type="paragraph" w:customStyle="1" w:styleId="Style2">
    <w:name w:val="Style2"/>
    <w:basedOn w:val="Normal"/>
    <w:autoRedefine/>
    <w:qFormat/>
    <w:rsid w:val="00624EE6"/>
    <w:pPr>
      <w:spacing w:line="480" w:lineRule="auto"/>
    </w:pPr>
    <w:rPr>
      <w:sz w:val="24"/>
    </w:rPr>
  </w:style>
  <w:style w:type="paragraph" w:customStyle="1" w:styleId="Style2citations">
    <w:name w:val="Style2 citations"/>
    <w:basedOn w:val="Style2"/>
    <w:autoRedefine/>
    <w:qFormat/>
    <w:rsid w:val="00624EE6"/>
    <w:pPr>
      <w:spacing w:before="240" w:after="240" w:line="240" w:lineRule="auto"/>
      <w:ind w:left="284" w:right="284"/>
    </w:pPr>
  </w:style>
  <w:style w:type="character" w:customStyle="1" w:styleId="Titre1Car">
    <w:name w:val="Titre 1 Car"/>
    <w:basedOn w:val="Policepardfaut"/>
    <w:link w:val="Titre1"/>
    <w:uiPriority w:val="9"/>
    <w:rsid w:val="00C278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7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78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7822"/>
    <w:rPr>
      <w:rFonts w:eastAsiaTheme="majorEastAsia" w:cstheme="majorBidi"/>
      <w:i/>
      <w:iCs/>
      <w:color w:val="2F5496" w:themeColor="accent1" w:themeShade="BF"/>
      <w:sz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C27822"/>
    <w:rPr>
      <w:rFonts w:eastAsiaTheme="majorEastAsia" w:cstheme="majorBidi"/>
      <w:color w:val="2F5496" w:themeColor="accent1" w:themeShade="BF"/>
      <w:sz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C27822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C27822"/>
    <w:rPr>
      <w:rFonts w:eastAsiaTheme="majorEastAsia" w:cstheme="majorBidi"/>
      <w:color w:val="595959" w:themeColor="text1" w:themeTint="A6"/>
      <w:sz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C27822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C27822"/>
    <w:rPr>
      <w:rFonts w:eastAsiaTheme="majorEastAsia" w:cstheme="majorBidi"/>
      <w:color w:val="272727" w:themeColor="text1" w:themeTint="D8"/>
      <w:sz w:val="22"/>
    </w:rPr>
  </w:style>
  <w:style w:type="paragraph" w:styleId="Titre">
    <w:name w:val="Title"/>
    <w:basedOn w:val="Normal"/>
    <w:next w:val="Normal"/>
    <w:link w:val="TitreCar"/>
    <w:uiPriority w:val="10"/>
    <w:qFormat/>
    <w:rsid w:val="00C27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7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78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7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C2782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782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78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7822"/>
    <w:rPr>
      <w:rFonts w:ascii="Times New Roman" w:hAnsi="Times New Roman"/>
      <w:i/>
      <w:iCs/>
      <w:color w:val="2F5496" w:themeColor="accent1" w:themeShade="BF"/>
      <w:sz w:val="22"/>
    </w:rPr>
  </w:style>
  <w:style w:type="character" w:styleId="Rfrenceintense">
    <w:name w:val="Intense Reference"/>
    <w:basedOn w:val="Policepardfaut"/>
    <w:uiPriority w:val="32"/>
    <w:qFormat/>
    <w:rsid w:val="00C2782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27822"/>
    <w:rPr>
      <w:color w:val="0563C1" w:themeColor="hyperlink"/>
      <w:u w:val="single"/>
    </w:rPr>
  </w:style>
  <w:style w:type="character" w:customStyle="1" w:styleId="s7">
    <w:name w:val="s7"/>
    <w:basedOn w:val="Policepardfaut"/>
    <w:rsid w:val="00C27822"/>
  </w:style>
  <w:style w:type="character" w:customStyle="1" w:styleId="apple-converted-space">
    <w:name w:val="apple-converted-space"/>
    <w:basedOn w:val="Policepardfaut"/>
    <w:rsid w:val="00C27822"/>
  </w:style>
  <w:style w:type="character" w:customStyle="1" w:styleId="s10">
    <w:name w:val="s10"/>
    <w:basedOn w:val="Policepardfaut"/>
    <w:rsid w:val="00C27822"/>
  </w:style>
  <w:style w:type="paragraph" w:styleId="Pieddepage">
    <w:name w:val="footer"/>
    <w:basedOn w:val="Normal"/>
    <w:link w:val="PieddepageCar"/>
    <w:uiPriority w:val="99"/>
    <w:unhideWhenUsed/>
    <w:rsid w:val="00C27822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27822"/>
    <w:rPr>
      <w:rFonts w:ascii="Times New Roman" w:hAnsi="Times New Roman"/>
      <w:kern w:val="0"/>
      <w:sz w:val="22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C27822"/>
  </w:style>
  <w:style w:type="character" w:styleId="Accentuation">
    <w:name w:val="Emphasis"/>
    <w:basedOn w:val="Policepardfaut"/>
    <w:uiPriority w:val="20"/>
    <w:qFormat/>
    <w:rsid w:val="00C27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niv-paris3.fr/publications-de-la-silc-sectionfrancaise--393070.kjsp?RH=13298342385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sterion.revues.org/235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journals.openedition.org/episteme/879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3327</Words>
  <Characters>18300</Characters>
  <Application>Microsoft Office Word</Application>
  <DocSecurity>0</DocSecurity>
  <Lines>152</Lines>
  <Paragraphs>43</Paragraphs>
  <ScaleCrop>false</ScaleCrop>
  <Company/>
  <LinksUpToDate>false</LinksUpToDate>
  <CharactersWithSpaces>21584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Grellard</dc:creator>
  <cp:keywords/>
  <dc:description/>
  <cp:lastModifiedBy>Christophe Grellard</cp:lastModifiedBy>
  <cp:revision>2</cp:revision>
  <dcterms:created xsi:type="dcterms:W3CDTF">2026-10-11T13:51:00Z</dcterms:created>
  <dcterms:modified xsi:type="dcterms:W3CDTF">2026-10-11T13:56:00Z</dcterms:modified>
</cp:coreProperties>
</file>